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2200" w:firstLineChars="500"/>
        <w:jc w:val="both"/>
        <w:rPr>
          <w:rFonts w:hint="eastAsia"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23</w:t>
      </w:r>
      <w:r>
        <w:rPr>
          <w:rFonts w:hint="eastAsia" w:ascii="黑体" w:hAnsi="宋体" w:eastAsia="黑体"/>
          <w:color w:val="000000"/>
          <w:sz w:val="44"/>
        </w:rPr>
        <w:t>-</w:t>
      </w:r>
      <w:r>
        <w:rPr>
          <w:rFonts w:hint="eastAsia" w:ascii="黑体" w:hAnsi="宋体" w:eastAsia="黑体"/>
          <w:color w:val="000000"/>
          <w:sz w:val="44"/>
          <w:lang w:val="en-US" w:eastAsia="zh-CN"/>
        </w:rPr>
        <w:t>S009</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eastAsia="zh-CN"/>
        </w:rPr>
        <w:t>骨髓腔输液系统</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1</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1"/>
          <w:szCs w:val="21"/>
          <w:highlight w:val="white"/>
          <w:lang w:val="en-US" w:eastAsia="zh-CN"/>
        </w:rPr>
        <w:t>骨髓腔输液系统</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default" w:asciiTheme="minorEastAsia" w:hAnsiTheme="minorEastAsia" w:eastAsiaTheme="minorEastAsia" w:cstheme="minorEastAsia"/>
          <w:color w:val="000000"/>
          <w:sz w:val="21"/>
          <w:szCs w:val="21"/>
          <w:highlight w:val="white"/>
          <w:lang w:val="en-US"/>
        </w:rPr>
      </w:pPr>
      <w:r>
        <w:rPr>
          <w:rFonts w:hint="eastAsia" w:asciiTheme="minorEastAsia" w:hAnsiTheme="minorEastAsia" w:eastAsiaTheme="minorEastAsia" w:cstheme="minorEastAsia"/>
          <w:b/>
          <w:sz w:val="21"/>
          <w:szCs w:val="21"/>
          <w:lang w:eastAsia="zh-CN"/>
        </w:rPr>
        <w:t>一、项目编号：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23</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S009</w:t>
      </w:r>
    </w:p>
    <w:p>
      <w:pPr>
        <w:pStyle w:val="7"/>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二、采购需求：</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113"/>
        <w:gridCol w:w="1135"/>
        <w:gridCol w:w="1803"/>
        <w:gridCol w:w="168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包号</w:t>
            </w:r>
          </w:p>
        </w:tc>
        <w:tc>
          <w:tcPr>
            <w:tcW w:w="2113"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1135"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数量（台）</w:t>
            </w:r>
          </w:p>
        </w:tc>
        <w:tc>
          <w:tcPr>
            <w:tcW w:w="1803"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采购预算（元/台）</w:t>
            </w:r>
          </w:p>
        </w:tc>
        <w:tc>
          <w:tcPr>
            <w:tcW w:w="1689" w:type="dxa"/>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采购总预算（元）</w:t>
            </w:r>
          </w:p>
        </w:tc>
        <w:tc>
          <w:tcPr>
            <w:tcW w:w="1327" w:type="dxa"/>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113" w:type="dxa"/>
          </w:tcPr>
          <w:p>
            <w:pPr>
              <w:jc w:val="center"/>
              <w:rPr>
                <w:rFonts w:hint="default"/>
                <w:color w:val="auto"/>
                <w:highlight w:val="none"/>
                <w:vertAlign w:val="baseline"/>
                <w:lang w:val="en-US" w:eastAsia="zh-CN"/>
              </w:rPr>
            </w:pPr>
            <w:r>
              <w:rPr>
                <w:rFonts w:hint="eastAsia" w:asciiTheme="minorEastAsia" w:hAnsiTheme="minorEastAsia" w:eastAsiaTheme="minorEastAsia" w:cstheme="minorEastAsia"/>
                <w:color w:val="000000"/>
                <w:sz w:val="21"/>
                <w:szCs w:val="21"/>
                <w:highlight w:val="white"/>
                <w:lang w:val="en-US" w:eastAsia="zh-CN"/>
              </w:rPr>
              <w:t>骨髓腔输液系统</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03"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35000</w:t>
            </w:r>
          </w:p>
        </w:tc>
        <w:tc>
          <w:tcPr>
            <w:tcW w:w="1689"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急诊科</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kern w:val="0"/>
          <w:sz w:val="21"/>
          <w:szCs w:val="21"/>
          <w:highlight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lang w:eastAsia="zh-CN"/>
        </w:rPr>
        <w:t>竞争性磋商</w:t>
      </w:r>
      <w:r>
        <w:rPr>
          <w:rFonts w:hint="eastAsia" w:asciiTheme="minorEastAsia" w:hAnsiTheme="minorEastAsia" w:eastAsiaTheme="minorEastAsia" w:cstheme="minorEastAsia"/>
          <w:sz w:val="21"/>
          <w:szCs w:val="21"/>
        </w:rPr>
        <w:t>法</w:t>
      </w:r>
      <w:r>
        <w:rPr>
          <w:rFonts w:hint="eastAsia" w:asciiTheme="minorEastAsia" w:hAnsiTheme="minorEastAsia" w:eastAsiaTheme="minorEastAsia" w:cstheme="minorEastAsia"/>
          <w:sz w:val="21"/>
          <w:szCs w:val="21"/>
          <w:lang w:eastAsia="zh-CN"/>
        </w:rPr>
        <w:t>。共两轮报价，</w:t>
      </w:r>
      <w:r>
        <w:rPr>
          <w:rFonts w:hint="eastAsia" w:ascii="宋体" w:hAnsi="宋体" w:eastAsia="宋体" w:cs="宋体"/>
          <w:b/>
          <w:bCs/>
          <w:sz w:val="21"/>
          <w:szCs w:val="21"/>
          <w:u w:val="single"/>
          <w:lang w:eastAsia="zh-CN"/>
        </w:rPr>
        <w:t>第一轮报</w:t>
      </w:r>
      <w:r>
        <w:rPr>
          <w:rFonts w:hint="eastAsia" w:ascii="宋体" w:hAnsi="宋体" w:eastAsia="宋体" w:cs="宋体"/>
          <w:b/>
          <w:bCs/>
          <w:sz w:val="21"/>
          <w:szCs w:val="21"/>
          <w:highlight w:val="none"/>
          <w:u w:val="single"/>
          <w:lang w:eastAsia="zh-CN"/>
        </w:rPr>
        <w:t>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highlight w:val="none"/>
          <w:lang w:val="zh-CN"/>
        </w:rPr>
        <w:t>(如未单独封装或盖红章的,将拒收其文件)，随投标文件一并递交，以便唱标时使用。</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2、其他要求</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供应商诚信档案管理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供应商申请网上注册的，应当按以下程序进行：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登陆“信用南京”或“南京公共采购信息网”网站，点击“政府采购供应商诚信档案”图标，在弹出的用户登录界面，点击“新用户注册”；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w:t>
      </w:r>
      <w:r>
        <w:rPr>
          <w:rFonts w:hint="eastAsia" w:ascii="宋体" w:hAnsi="宋体" w:eastAsia="宋体" w:cs="宋体"/>
          <w:b/>
          <w:bCs/>
          <w:sz w:val="21"/>
          <w:szCs w:val="21"/>
          <w:u w:val="single"/>
        </w:rPr>
        <w:t>“南京市政府采购供应商信用记录表”是其参加本次政府采购活动的必备材料。 </w:t>
      </w:r>
    </w:p>
    <w:p>
      <w:pPr>
        <w:keepNext w:val="0"/>
        <w:keepLines w:val="0"/>
        <w:pageBreakBefore w:val="0"/>
        <w:widowControl w:val="0"/>
        <w:kinsoku/>
        <w:wordWrap/>
        <w:overflowPunct/>
        <w:topLinePunct w:val="0"/>
        <w:bidi w:val="0"/>
        <w:snapToGrid/>
        <w:spacing w:line="340" w:lineRule="exact"/>
        <w:textAlignment w:val="auto"/>
        <w:rPr>
          <w:rFonts w:hint="default"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lang w:val="en-US" w:eastAsia="zh-CN"/>
        </w:rPr>
        <w:t>2</w:t>
      </w: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rPr>
        <w:t>单位负责人为同一人或者存在直接控股、管理关系的不同供应商，不得同时参加本采购项目投标（响应）。为本项目提供整体设计、规范编制或者项目管理、监理、检测等服务的供应商，不得再参与本项目投标（响应）。提供投标函。</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投标文件要求：</w:t>
      </w:r>
      <w:r>
        <w:rPr>
          <w:rFonts w:hint="eastAsia" w:asciiTheme="minorEastAsia" w:hAnsiTheme="minorEastAsia" w:eastAsiaTheme="minorEastAsia" w:cstheme="minorEastAsia"/>
          <w:b/>
          <w:sz w:val="21"/>
          <w:szCs w:val="21"/>
          <w:highlight w:val="none"/>
          <w:u w:val="single"/>
          <w:lang w:eastAsia="zh-CN"/>
        </w:rPr>
        <w:t>目录页、页码、一式四份（一个正本、三个副本）</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时间：202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2.2  14:30（请于2024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2.2 14:25前签到，超时即不接收应标） </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地点：溧水区人民医院</w:t>
      </w:r>
      <w:r>
        <w:rPr>
          <w:rFonts w:hint="eastAsia" w:asciiTheme="minorEastAsia" w:hAnsiTheme="minorEastAsia" w:eastAsiaTheme="minorEastAsia" w:cstheme="minorEastAsia"/>
          <w:sz w:val="21"/>
          <w:szCs w:val="21"/>
          <w:highlight w:val="none"/>
          <w:lang w:eastAsia="zh-CN"/>
        </w:rPr>
        <w:t>行政楼五楼会议室</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七</w:t>
      </w:r>
      <w:r>
        <w:rPr>
          <w:rFonts w:hint="eastAsia" w:asciiTheme="minorEastAsia" w:hAnsiTheme="minorEastAsia" w:eastAsiaTheme="minorEastAsia" w:cstheme="minorEastAsia"/>
          <w:b/>
          <w:bCs/>
          <w:iCs/>
          <w:sz w:val="21"/>
          <w:szCs w:val="21"/>
          <w:highlight w:val="none"/>
        </w:rPr>
        <w:t>、质疑与投诉</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w:t>
      </w:r>
      <w:r>
        <w:rPr>
          <w:rFonts w:hint="eastAsia" w:asciiTheme="minorEastAsia" w:hAnsiTheme="minorEastAsia" w:eastAsiaTheme="minorEastAsia" w:cstheme="minorEastAsia"/>
          <w:bCs/>
          <w:iCs/>
          <w:sz w:val="21"/>
          <w:szCs w:val="21"/>
          <w:highlight w:val="none"/>
          <w:lang w:eastAsia="zh-CN"/>
        </w:rPr>
        <w:t>竞争性磋商</w:t>
      </w:r>
      <w:r>
        <w:rPr>
          <w:rFonts w:hint="eastAsia" w:asciiTheme="minorEastAsia" w:hAnsiTheme="minorEastAsia" w:eastAsiaTheme="minorEastAsia" w:cstheme="minorEastAsia"/>
          <w:bCs/>
          <w:iCs/>
          <w:sz w:val="21"/>
          <w:szCs w:val="21"/>
          <w:highlight w:val="none"/>
        </w:rPr>
        <w:t>人认为采购文件、采购过程和中标结果使自己的权益受到损害的，可以在知道或者应知其权益受到损害之日起七个工作日内，将质疑函以书面形式由法定代表人或法人授权代表送达采购单位。</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供应商应在法定质疑期内一次性提出针对同一采购程序环节的质疑。</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供应商质疑实行实名制，其质疑应当有具体的质疑事项及事实根据，并配合采购人处理质疑。质疑函的必备内容：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（2）所参加项目的具体质疑事项及事实依据；</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（3）认为自己合法权益受到损害或可能受到损害的相关证据材料；</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（4）提起质疑的日期；</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八</w:t>
      </w:r>
      <w:r>
        <w:rPr>
          <w:rFonts w:hint="eastAsia" w:asciiTheme="minorEastAsia" w:hAnsiTheme="minorEastAsia" w:eastAsiaTheme="minorEastAsia" w:cstheme="minorEastAsia"/>
          <w:b/>
          <w:bCs/>
          <w:iCs/>
          <w:sz w:val="21"/>
          <w:szCs w:val="21"/>
          <w:highlight w:val="none"/>
        </w:rPr>
        <w:t>、以上</w:t>
      </w:r>
      <w:r>
        <w:rPr>
          <w:rFonts w:hint="eastAsia" w:asciiTheme="minorEastAsia" w:hAnsiTheme="minorEastAsia" w:eastAsiaTheme="minorEastAsia" w:cstheme="minorEastAsia"/>
          <w:b/>
          <w:bCs/>
          <w:iCs/>
          <w:sz w:val="21"/>
          <w:szCs w:val="21"/>
          <w:highlight w:val="none"/>
          <w:lang w:eastAsia="zh-CN"/>
        </w:rPr>
        <w:t>竞争性磋商</w:t>
      </w:r>
      <w:r>
        <w:rPr>
          <w:rFonts w:hint="eastAsia" w:asciiTheme="minorEastAsia" w:hAnsiTheme="minorEastAsia" w:eastAsiaTheme="minorEastAsia" w:cstheme="minorEastAsia"/>
          <w:b/>
          <w:bCs/>
          <w:iCs/>
          <w:sz w:val="21"/>
          <w:szCs w:val="21"/>
          <w:highlight w:val="none"/>
        </w:rPr>
        <w:t>函内容如有变动，将在人民医院官网上另行通知。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1</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23</w:t>
      </w:r>
      <w:r>
        <w:rPr>
          <w:rFonts w:hint="eastAsia" w:asciiTheme="minorEastAsia" w:hAnsiTheme="minorEastAsia" w:eastAsiaTheme="minorEastAsia" w:cstheme="minorEastAsia"/>
          <w:bCs/>
          <w:iCs/>
          <w:sz w:val="21"/>
          <w:szCs w:val="21"/>
          <w:highlight w:val="none"/>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ind w:firstLine="3935" w:firstLineChars="1400"/>
        <w:jc w:val="both"/>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7"/>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jc w:val="center"/>
        <w:rPr>
          <w:rFonts w:hint="default"/>
          <w:b/>
          <w:bCs/>
          <w:sz w:val="28"/>
          <w:szCs w:val="32"/>
          <w:lang w:val="en-US" w:eastAsia="zh-CN"/>
        </w:rPr>
      </w:pPr>
      <w:r>
        <w:rPr>
          <w:rFonts w:hint="eastAsia"/>
          <w:b/>
          <w:bCs/>
          <w:sz w:val="28"/>
          <w:szCs w:val="32"/>
          <w:lang w:eastAsia="zh-CN"/>
        </w:rPr>
        <w:t>第二部分</w:t>
      </w:r>
      <w:r>
        <w:rPr>
          <w:rFonts w:hint="eastAsia"/>
          <w:b/>
          <w:bCs/>
          <w:sz w:val="28"/>
          <w:szCs w:val="32"/>
          <w:lang w:val="en-US" w:eastAsia="zh-CN"/>
        </w:rPr>
        <w:t xml:space="preserve"> 采购需求、</w:t>
      </w:r>
      <w:r>
        <w:rPr>
          <w:rFonts w:hint="eastAsia" w:asciiTheme="minorEastAsia" w:hAnsiTheme="minorEastAsia" w:eastAsiaTheme="minorEastAsia" w:cstheme="minorEastAsia"/>
          <w:b/>
          <w:bCs/>
          <w:sz w:val="28"/>
          <w:szCs w:val="28"/>
          <w:lang w:val="en-US" w:eastAsia="zh-CN"/>
        </w:rPr>
        <w:t>评标方法与评标标准</w:t>
      </w:r>
    </w:p>
    <w:p>
      <w:pPr>
        <w:widowControl/>
        <w:spacing w:line="240" w:lineRule="auto"/>
        <w:jc w:val="left"/>
        <w:rPr>
          <w:rFonts w:hAnsi="宋体" w:cs="宋体"/>
          <w:bCs/>
        </w:rPr>
      </w:pPr>
      <w:r>
        <w:rPr>
          <w:rFonts w:hAnsi="宋体" w:cs="宋体"/>
          <w:bCs/>
        </w:rPr>
        <w:br w:type="page"/>
      </w:r>
    </w:p>
    <w:p>
      <w:pPr>
        <w:pStyle w:val="3"/>
        <w:spacing w:line="360" w:lineRule="auto"/>
        <w:jc w:val="center"/>
        <w:rPr>
          <w:rFonts w:ascii="宋体" w:hAnsi="宋体" w:eastAsia="宋体" w:cs="宋体"/>
          <w:b/>
          <w:bCs/>
          <w:sz w:val="44"/>
        </w:rPr>
      </w:pPr>
      <w:bookmarkStart w:id="1" w:name="_Toc2506"/>
      <w:r>
        <w:rPr>
          <w:rFonts w:hint="eastAsia" w:ascii="宋体" w:hAnsi="宋体" w:eastAsia="宋体" w:cs="宋体"/>
          <w:b/>
          <w:bCs/>
          <w:sz w:val="44"/>
        </w:rPr>
        <w:t>项 目 需 求</w:t>
      </w:r>
      <w:bookmarkEnd w:id="1"/>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jc w:val="left"/>
        <w:rPr>
          <w:rFonts w:hint="default" w:eastAsia="宋体"/>
          <w:lang w:val="en-US" w:eastAsia="zh-CN"/>
        </w:rPr>
      </w:pPr>
      <w:r>
        <w:rPr>
          <w:rFonts w:hint="eastAsia" w:eastAsia="宋体"/>
          <w:lang w:val="en-US" w:eastAsia="zh-CN"/>
        </w:rPr>
        <w:t>（一）主要技术参数和要求；</w:t>
      </w:r>
    </w:p>
    <w:p>
      <w:pPr>
        <w:jc w:val="left"/>
        <w:rPr>
          <w:rFonts w:hint="eastAsia" w:eastAsia="宋体"/>
          <w:lang w:eastAsia="zh-CN"/>
        </w:rPr>
      </w:pPr>
      <w:r>
        <w:rPr>
          <w:rFonts w:hint="eastAsia"/>
          <w:lang w:val="en-US" w:eastAsia="zh-CN"/>
        </w:rPr>
        <w:t>1.</w:t>
      </w:r>
      <w:r>
        <w:rPr>
          <w:rFonts w:hint="eastAsia"/>
        </w:rPr>
        <w:t>电钻外观</w:t>
      </w:r>
      <w:r>
        <w:rPr>
          <w:rFonts w:hint="eastAsia"/>
          <w:lang w:eastAsia="zh-CN"/>
        </w:rPr>
        <w:t>：</w:t>
      </w:r>
      <w:r>
        <w:rPr>
          <w:rFonts w:hint="eastAsia"/>
        </w:rPr>
        <w:t>封闭式结构，无裂纹</w:t>
      </w:r>
      <w:r>
        <w:rPr>
          <w:rFonts w:hint="eastAsia"/>
          <w:lang w:eastAsia="zh-CN"/>
        </w:rPr>
        <w:t>；</w:t>
      </w:r>
    </w:p>
    <w:p>
      <w:pPr>
        <w:jc w:val="left"/>
        <w:rPr>
          <w:rFonts w:hint="eastAsia" w:eastAsia="宋体"/>
          <w:lang w:eastAsia="zh-CN"/>
        </w:rPr>
      </w:pPr>
      <w:r>
        <w:rPr>
          <w:rFonts w:hint="eastAsia"/>
          <w:lang w:val="en-US" w:eastAsia="zh-CN"/>
        </w:rPr>
        <w:t>2.</w:t>
      </w:r>
      <w:r>
        <w:rPr>
          <w:rFonts w:hint="eastAsia"/>
        </w:rPr>
        <w:t>操作方式</w:t>
      </w:r>
      <w:r>
        <w:rPr>
          <w:rFonts w:hint="eastAsia"/>
          <w:lang w:eastAsia="zh-CN"/>
        </w:rPr>
        <w:t>：</w:t>
      </w:r>
      <w:r>
        <w:rPr>
          <w:rFonts w:hint="eastAsia"/>
        </w:rPr>
        <w:t>按钮操作</w:t>
      </w:r>
      <w:r>
        <w:rPr>
          <w:rFonts w:hint="eastAsia"/>
          <w:lang w:eastAsia="zh-CN"/>
        </w:rPr>
        <w:t>；</w:t>
      </w:r>
    </w:p>
    <w:p>
      <w:pPr>
        <w:jc w:val="left"/>
        <w:rPr>
          <w:rFonts w:hint="eastAsia" w:eastAsia="宋体"/>
          <w:lang w:eastAsia="zh-CN"/>
        </w:rPr>
      </w:pPr>
      <w:r>
        <w:rPr>
          <w:rFonts w:hint="eastAsia"/>
        </w:rPr>
        <w:t>▲</w:t>
      </w:r>
      <w:r>
        <w:rPr>
          <w:rFonts w:hint="eastAsia"/>
          <w:lang w:val="en-US" w:eastAsia="zh-CN"/>
        </w:rPr>
        <w:t>3.</w:t>
      </w:r>
      <w:r>
        <w:rPr>
          <w:rFonts w:hint="eastAsia"/>
        </w:rPr>
        <w:t>转速范围</w:t>
      </w:r>
      <w:r>
        <w:rPr>
          <w:rFonts w:hint="eastAsia"/>
          <w:lang w:eastAsia="zh-CN"/>
        </w:rPr>
        <w:t>：</w:t>
      </w:r>
      <w:r>
        <w:rPr>
          <w:rFonts w:hint="eastAsia"/>
        </w:rPr>
        <w:t>1300rpm～2000rpm</w:t>
      </w:r>
      <w:r>
        <w:rPr>
          <w:rFonts w:hint="eastAsia"/>
          <w:lang w:eastAsia="zh-CN"/>
        </w:rPr>
        <w:t>；（</w:t>
      </w:r>
      <w:r>
        <w:rPr>
          <w:rFonts w:hint="eastAsia"/>
          <w:lang w:val="en-US" w:eastAsia="zh-CN"/>
        </w:rPr>
        <w:t>提供证明资料</w:t>
      </w:r>
      <w:r>
        <w:rPr>
          <w:rFonts w:hint="eastAsia"/>
          <w:lang w:eastAsia="zh-CN"/>
        </w:rPr>
        <w:t>）</w:t>
      </w:r>
    </w:p>
    <w:p>
      <w:pPr>
        <w:jc w:val="left"/>
        <w:rPr>
          <w:rFonts w:hint="eastAsia" w:eastAsia="宋体"/>
          <w:lang w:eastAsia="zh-CN"/>
        </w:rPr>
      </w:pPr>
      <w:r>
        <w:rPr>
          <w:rFonts w:hint="eastAsia"/>
          <w:lang w:val="en-US" w:eastAsia="zh-CN"/>
        </w:rPr>
        <w:t>4.</w:t>
      </w:r>
      <w:r>
        <w:rPr>
          <w:rFonts w:hint="eastAsia"/>
        </w:rPr>
        <w:t>工作噪音</w:t>
      </w:r>
      <w:r>
        <w:rPr>
          <w:rFonts w:hint="eastAsia"/>
          <w:lang w:eastAsia="zh-CN"/>
        </w:rPr>
        <w:t>：</w:t>
      </w:r>
      <w:r>
        <w:rPr>
          <w:rFonts w:hint="eastAsia"/>
        </w:rPr>
        <w:t>≤70dB</w:t>
      </w:r>
      <w:r>
        <w:rPr>
          <w:rFonts w:hint="eastAsia"/>
          <w:lang w:eastAsia="zh-CN"/>
        </w:rPr>
        <w:t>；</w:t>
      </w:r>
    </w:p>
    <w:p>
      <w:pPr>
        <w:jc w:val="left"/>
        <w:rPr>
          <w:rFonts w:hint="eastAsia" w:eastAsia="宋体"/>
          <w:lang w:eastAsia="zh-CN"/>
        </w:rPr>
      </w:pPr>
      <w:r>
        <w:rPr>
          <w:rFonts w:hint="eastAsia"/>
          <w:lang w:val="en-US" w:eastAsia="zh-CN"/>
        </w:rPr>
        <w:t>5.连接方式</w:t>
      </w:r>
      <w:r>
        <w:rPr>
          <w:rFonts w:hint="eastAsia"/>
          <w:lang w:eastAsia="zh-CN"/>
        </w:rPr>
        <w:t>：</w:t>
      </w:r>
      <w:r>
        <w:rPr>
          <w:rFonts w:hint="eastAsia"/>
        </w:rPr>
        <w:t>穿刺针与电钻磁吸</w:t>
      </w:r>
      <w:r>
        <w:rPr>
          <w:rFonts w:hint="eastAsia"/>
          <w:lang w:val="en-US" w:eastAsia="zh-CN"/>
        </w:rPr>
        <w:t>式</w:t>
      </w:r>
      <w:r>
        <w:rPr>
          <w:rFonts w:hint="eastAsia"/>
        </w:rPr>
        <w:t>连接</w:t>
      </w:r>
      <w:r>
        <w:rPr>
          <w:rFonts w:hint="eastAsia"/>
          <w:lang w:eastAsia="zh-CN"/>
        </w:rPr>
        <w:t>；</w:t>
      </w:r>
    </w:p>
    <w:p>
      <w:pPr>
        <w:jc w:val="left"/>
        <w:rPr>
          <w:rFonts w:hint="eastAsia" w:eastAsia="宋体"/>
          <w:lang w:eastAsia="zh-CN"/>
        </w:rPr>
      </w:pPr>
      <w:r>
        <w:rPr>
          <w:rFonts w:hint="eastAsia"/>
          <w:lang w:val="en-US" w:eastAsia="zh-CN"/>
        </w:rPr>
        <w:t>6.</w:t>
      </w:r>
      <w:r>
        <w:rPr>
          <w:rFonts w:hint="eastAsia"/>
        </w:rPr>
        <w:t>电池类型</w:t>
      </w:r>
      <w:r>
        <w:rPr>
          <w:rFonts w:hint="eastAsia"/>
          <w:lang w:eastAsia="zh-CN"/>
        </w:rPr>
        <w:t>：</w:t>
      </w:r>
      <w:r>
        <w:rPr>
          <w:rFonts w:hint="eastAsia"/>
          <w:lang w:val="en-US" w:eastAsia="zh-CN"/>
        </w:rPr>
        <w:t>15v</w:t>
      </w:r>
      <w:r>
        <w:rPr>
          <w:rFonts w:hint="eastAsia"/>
        </w:rPr>
        <w:t>直流密封电池</w:t>
      </w:r>
      <w:r>
        <w:rPr>
          <w:rFonts w:hint="eastAsia"/>
          <w:lang w:eastAsia="zh-CN"/>
        </w:rPr>
        <w:t>；</w:t>
      </w:r>
    </w:p>
    <w:p>
      <w:pPr>
        <w:jc w:val="left"/>
        <w:rPr>
          <w:rFonts w:hint="default"/>
          <w:lang w:val="en-US" w:eastAsia="zh-CN"/>
        </w:rPr>
      </w:pPr>
      <w:r>
        <w:rPr>
          <w:rFonts w:hint="eastAsia"/>
          <w:lang w:val="en-US" w:eastAsia="zh-CN"/>
        </w:rPr>
        <w:t>7.</w:t>
      </w:r>
      <w:r>
        <w:rPr>
          <w:rFonts w:hint="eastAsia"/>
        </w:rPr>
        <w:t>电量指示</w:t>
      </w:r>
      <w:r>
        <w:rPr>
          <w:rFonts w:hint="eastAsia"/>
          <w:lang w:eastAsia="zh-CN"/>
        </w:rPr>
        <w:t>：</w:t>
      </w:r>
      <w:r>
        <w:rPr>
          <w:rFonts w:hint="eastAsia"/>
          <w:lang w:val="en-US" w:eastAsia="zh-CN"/>
        </w:rPr>
        <w:t>有电量指示及报警提示；</w:t>
      </w:r>
    </w:p>
    <w:p>
      <w:pPr>
        <w:jc w:val="left"/>
        <w:rPr>
          <w:rFonts w:hint="eastAsia"/>
          <w:lang w:eastAsia="zh-CN"/>
        </w:rPr>
      </w:pPr>
      <w:r>
        <w:rPr>
          <w:rFonts w:hint="eastAsia"/>
        </w:rPr>
        <w:t>▲</w:t>
      </w:r>
      <w:r>
        <w:rPr>
          <w:rFonts w:hint="eastAsia"/>
          <w:lang w:val="en-US" w:eastAsia="zh-CN"/>
        </w:rPr>
        <w:t>8.可使用次数≥500次；</w:t>
      </w:r>
      <w:r>
        <w:rPr>
          <w:rFonts w:hint="eastAsia"/>
          <w:lang w:eastAsia="zh-CN"/>
        </w:rPr>
        <w:t>（</w:t>
      </w:r>
      <w:r>
        <w:rPr>
          <w:rFonts w:hint="eastAsia"/>
          <w:lang w:val="en-US" w:eastAsia="zh-CN"/>
        </w:rPr>
        <w:t>提供证明资料</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jc w:val="left"/>
        <w:rPr>
          <w:rFonts w:hint="eastAsia" w:ascii="宋体" w:hAnsi="宋体" w:eastAsia="宋体" w:cs="宋体"/>
          <w:lang w:val="en-US" w:eastAsia="zh-CN"/>
        </w:rPr>
      </w:pPr>
      <w:r>
        <w:rPr>
          <w:rFonts w:hint="eastAsia" w:ascii="宋体" w:hAnsi="宋体" w:cs="宋体"/>
          <w:b w:val="0"/>
          <w:bCs/>
          <w:color w:val="000000"/>
          <w:kern w:val="0"/>
          <w:sz w:val="21"/>
          <w:szCs w:val="21"/>
          <w:lang w:val="en-US" w:eastAsia="zh-CN" w:bidi="ar"/>
        </w:rPr>
        <w:t>1.</w:t>
      </w:r>
      <w:r>
        <w:rPr>
          <w:rFonts w:hint="eastAsia" w:ascii="宋体" w:hAnsi="宋体" w:eastAsia="宋体" w:cs="宋体"/>
          <w:lang w:val="en-US" w:eastAsia="zh-CN"/>
        </w:rPr>
        <w:t>主机                   1个</w:t>
      </w:r>
    </w:p>
    <w:p>
      <w:pPr>
        <w:jc w:val="left"/>
        <w:rPr>
          <w:rFonts w:hint="eastAsia" w:ascii="宋体" w:hAnsi="宋体" w:eastAsia="宋体" w:cs="宋体"/>
          <w:lang w:val="en-US" w:eastAsia="zh-CN"/>
        </w:rPr>
      </w:pPr>
      <w:r>
        <w:rPr>
          <w:rFonts w:hint="eastAsia" w:ascii="宋体" w:hAnsi="宋体" w:eastAsia="宋体" w:cs="宋体"/>
          <w:lang w:val="en-US" w:eastAsia="zh-CN"/>
        </w:rPr>
        <w:t>2.练习模型               2个</w:t>
      </w:r>
    </w:p>
    <w:p>
      <w:pPr>
        <w:jc w:val="left"/>
        <w:rPr>
          <w:rFonts w:hint="eastAsia" w:ascii="宋体" w:hAnsi="宋体" w:eastAsia="宋体" w:cs="宋体"/>
          <w:lang w:val="en-US" w:eastAsia="zh-CN"/>
        </w:rPr>
      </w:pPr>
      <w:r>
        <w:rPr>
          <w:rFonts w:hint="eastAsia" w:ascii="宋体" w:hAnsi="宋体" w:eastAsia="宋体" w:cs="宋体"/>
          <w:lang w:val="en-US" w:eastAsia="zh-CN"/>
        </w:rPr>
        <w:t>3.练习</w:t>
      </w:r>
      <w:r>
        <w:rPr>
          <w:rFonts w:hint="eastAsia" w:ascii="宋体" w:hAnsi="宋体" w:eastAsia="宋体" w:cs="宋体"/>
        </w:rPr>
        <w:t>穿刺针</w:t>
      </w:r>
      <w:r>
        <w:rPr>
          <w:rFonts w:hint="eastAsia" w:ascii="宋体" w:hAnsi="宋体" w:eastAsia="宋体" w:cs="宋体"/>
          <w:lang w:val="en-US" w:eastAsia="zh-CN"/>
        </w:rPr>
        <w:t xml:space="preserve">             3个</w:t>
      </w:r>
    </w:p>
    <w:p>
      <w:pPr>
        <w:rPr>
          <w:sz w:val="21"/>
          <w:szCs w:val="21"/>
        </w:rPr>
      </w:pPr>
    </w:p>
    <w:p>
      <w:pPr>
        <w:widowControl/>
        <w:jc w:val="left"/>
        <w:rPr>
          <w:rFonts w:hAnsi="宋体" w:cs="宋体"/>
          <w:bCs/>
        </w:rPr>
      </w:pPr>
      <w:r>
        <w:rPr>
          <w:rFonts w:hint="eastAsia" w:hAnsi="宋体" w:cs="宋体"/>
          <w:bCs/>
        </w:rPr>
        <w:t>二、商务要求</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53"/>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88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799"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887"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799"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887"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799" w:type="pct"/>
            <w:noWrap w:val="0"/>
            <w:vAlign w:val="center"/>
          </w:tcPr>
          <w:p>
            <w:pPr>
              <w:widowControl/>
              <w:spacing w:line="36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免费终身质保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887"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799"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887"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799"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887"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799"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887"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799"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887"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799"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887" w:type="pct"/>
            <w:noWrap w:val="0"/>
            <w:vAlign w:val="center"/>
          </w:tcPr>
          <w:p>
            <w:pPr>
              <w:widowControl/>
              <w:spacing w:line="360" w:lineRule="auto"/>
              <w:jc w:val="center"/>
              <w:rPr>
                <w:rFonts w:hint="eastAsia" w:hAnsi="宋体" w:cs="宋体"/>
                <w:b w:val="0"/>
                <w:bCs/>
                <w:color w:val="000000"/>
                <w:szCs w:val="24"/>
                <w:highlight w:val="none"/>
                <w:lang w:val="zh-CN"/>
              </w:rPr>
            </w:pPr>
            <w:r>
              <w:rPr>
                <w:rFonts w:hint="eastAsia" w:hAnsi="宋体" w:cs="宋体"/>
                <w:b w:val="0"/>
                <w:bCs/>
                <w:color w:val="000000"/>
                <w:szCs w:val="24"/>
                <w:highlight w:val="none"/>
              </w:rPr>
              <w:t>付款方式</w:t>
            </w:r>
          </w:p>
        </w:tc>
        <w:tc>
          <w:tcPr>
            <w:tcW w:w="3799" w:type="pct"/>
            <w:noWrap w:val="0"/>
            <w:vAlign w:val="top"/>
          </w:tcPr>
          <w:p>
            <w:pPr>
              <w:widowControl/>
              <w:spacing w:line="360" w:lineRule="auto"/>
              <w:jc w:val="left"/>
              <w:rPr>
                <w:rFonts w:hint="eastAsia" w:hAnsi="宋体" w:cs="宋体"/>
                <w:b w:val="0"/>
                <w:bCs/>
                <w:color w:val="000000"/>
                <w:szCs w:val="24"/>
                <w:highlight w:val="none"/>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pPr>
              <w:autoSpaceDE w:val="0"/>
              <w:autoSpaceDN w:val="0"/>
              <w:adjustRightInd w:val="0"/>
              <w:snapToGrid w:val="0"/>
              <w:spacing w:line="360" w:lineRule="auto"/>
              <w:jc w:val="center"/>
              <w:rPr>
                <w:rFonts w:hint="eastAsia" w:hAnsi="宋体" w:eastAsia="宋体" w:cs="宋体"/>
                <w:b w:val="0"/>
                <w:bCs/>
                <w:snapToGrid w:val="0"/>
                <w:color w:val="000000"/>
                <w:szCs w:val="24"/>
                <w:lang w:val="en-US" w:eastAsia="zh-CN"/>
              </w:rPr>
            </w:pPr>
            <w:r>
              <w:rPr>
                <w:rFonts w:hint="eastAsia" w:hAnsi="宋体" w:cs="宋体"/>
                <w:b w:val="0"/>
                <w:bCs/>
                <w:snapToGrid w:val="0"/>
                <w:color w:val="000000"/>
                <w:szCs w:val="24"/>
                <w:lang w:val="en-US" w:eastAsia="zh-CN"/>
              </w:rPr>
              <w:t>9</w:t>
            </w:r>
          </w:p>
        </w:tc>
        <w:tc>
          <w:tcPr>
            <w:tcW w:w="887" w:type="pct"/>
            <w:noWrap w:val="0"/>
            <w:vAlign w:val="center"/>
          </w:tcPr>
          <w:p>
            <w:pPr>
              <w:widowControl/>
              <w:spacing w:line="360" w:lineRule="auto"/>
              <w:jc w:val="center"/>
              <w:rPr>
                <w:rFonts w:hint="eastAsia" w:hAnsi="宋体" w:cs="宋体"/>
                <w:b w:val="0"/>
                <w:bCs/>
                <w:color w:val="000000"/>
                <w:szCs w:val="24"/>
                <w:highlight w:val="none"/>
                <w:lang w:eastAsia="zh-CN"/>
              </w:rPr>
            </w:pPr>
            <w:r>
              <w:rPr>
                <w:rFonts w:hint="eastAsia" w:hAnsi="宋体" w:cs="宋体"/>
                <w:b w:val="0"/>
                <w:bCs/>
                <w:color w:val="000000"/>
                <w:szCs w:val="24"/>
                <w:highlight w:val="none"/>
                <w:lang w:eastAsia="zh-CN"/>
              </w:rPr>
              <w:t>对穿刺针的</w:t>
            </w:r>
            <w:bookmarkStart w:id="4" w:name="_GoBack"/>
            <w:bookmarkEnd w:id="4"/>
            <w:r>
              <w:rPr>
                <w:rFonts w:hint="eastAsia" w:hAnsi="宋体" w:cs="宋体"/>
                <w:b w:val="0"/>
                <w:bCs/>
                <w:color w:val="000000"/>
                <w:szCs w:val="24"/>
                <w:highlight w:val="none"/>
                <w:lang w:eastAsia="zh-CN"/>
              </w:rPr>
              <w:t>要求</w:t>
            </w:r>
          </w:p>
        </w:tc>
        <w:tc>
          <w:tcPr>
            <w:tcW w:w="3799" w:type="pct"/>
            <w:noWrap w:val="0"/>
            <w:vAlign w:val="top"/>
          </w:tcPr>
          <w:p>
            <w:pPr>
              <w:widowControl/>
              <w:spacing w:line="360" w:lineRule="auto"/>
              <w:jc w:val="left"/>
              <w:rPr>
                <w:rFonts w:hint="eastAsia" w:hAnsi="宋体" w:cs="宋体"/>
                <w:b w:val="0"/>
                <w:bCs/>
                <w:color w:val="000000"/>
                <w:szCs w:val="24"/>
                <w:highlight w:val="none"/>
              </w:rPr>
            </w:pPr>
            <w:r>
              <w:rPr>
                <w:rFonts w:hint="eastAsia" w:hAnsi="宋体" w:cs="宋体"/>
                <w:b w:val="0"/>
                <w:bCs/>
                <w:color w:val="000000"/>
                <w:szCs w:val="24"/>
                <w:highlight w:val="none"/>
              </w:rPr>
              <w:t>穿刺针</w:t>
            </w:r>
            <w:r>
              <w:rPr>
                <w:rFonts w:hint="eastAsia" w:hAnsi="宋体" w:cs="宋体"/>
                <w:b w:val="0"/>
                <w:bCs/>
                <w:color w:val="000000"/>
                <w:szCs w:val="24"/>
                <w:highlight w:val="none"/>
                <w:lang w:val="en-US" w:eastAsia="zh-CN"/>
              </w:rPr>
              <w:t>具有医疗器械注册证，不高于平台中标价；</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jc w:val="center"/>
        <w:rPr>
          <w:rFonts w:hint="eastAsia" w:ascii="Times New Roman" w:hAnsi="Times New Roman" w:eastAsia="宋体" w:cs="Times New Roman"/>
          <w:b/>
          <w:sz w:val="32"/>
          <w:szCs w:val="32"/>
          <w:lang w:eastAsia="zh-CN"/>
        </w:rPr>
        <w:sectPr>
          <w:pgSz w:w="11906" w:h="16838"/>
          <w:pgMar w:top="420" w:right="272" w:bottom="420" w:left="272" w:header="510" w:footer="510" w:gutter="0"/>
          <w:pgNumType w:fmt="decimal"/>
          <w:cols w:space="425" w:num="1"/>
          <w:docGrid w:type="lines" w:linePitch="312" w:charSpace="0"/>
        </w:sectPr>
      </w:pPr>
    </w:p>
    <w:p>
      <w:pPr>
        <w:spacing w:line="240" w:lineRule="auto"/>
        <w:rPr>
          <w:rFonts w:hint="default" w:hAnsi="宋体" w:eastAsia="宋体" w:cs="宋体"/>
          <w:b/>
          <w:bCs w:val="0"/>
          <w:sz w:val="28"/>
          <w:szCs w:val="32"/>
          <w:lang w:val="en-US" w:eastAsia="zh-CN"/>
        </w:rPr>
      </w:pPr>
      <w:r>
        <w:rPr>
          <w:rFonts w:hint="eastAsia" w:hAnsi="宋体" w:cs="宋体"/>
          <w:b/>
          <w:bCs w:val="0"/>
          <w:sz w:val="28"/>
          <w:szCs w:val="32"/>
          <w:lang w:eastAsia="zh-CN"/>
        </w:rPr>
        <w:t>关于</w:t>
      </w:r>
      <w:r>
        <w:rPr>
          <w:rFonts w:hint="eastAsia" w:hAnsi="宋体" w:cs="宋体"/>
          <w:b/>
          <w:bCs w:val="0"/>
          <w:sz w:val="28"/>
          <w:szCs w:val="32"/>
          <w:lang w:val="en-US" w:eastAsia="zh-CN"/>
        </w:rPr>
        <w:t>评分标准的说明：</w:t>
      </w:r>
    </w:p>
    <w:p>
      <w:pPr>
        <w:spacing w:line="240" w:lineRule="auto"/>
        <w:ind w:firstLine="420"/>
        <w:jc w:val="left"/>
        <w:rPr>
          <w:rFonts w:hAnsi="宋体" w:cs="宋体"/>
          <w:b w:val="0"/>
          <w:bCs/>
        </w:rPr>
      </w:pPr>
      <w:r>
        <w:rPr>
          <w:rFonts w:hint="eastAsia" w:hAnsi="宋体" w:cs="宋体"/>
          <w:b w:val="0"/>
          <w:bCs/>
        </w:rPr>
        <w:t>1、促进中小企业发展政策</w:t>
      </w:r>
    </w:p>
    <w:p>
      <w:pPr>
        <w:tabs>
          <w:tab w:val="left" w:pos="8200"/>
        </w:tabs>
        <w:spacing w:line="24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2"/>
        </w:num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2"/>
        </w:numPr>
        <w:tabs>
          <w:tab w:val="left" w:pos="8200"/>
        </w:tabs>
        <w:spacing w:line="24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24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24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24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24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24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240" w:lineRule="auto"/>
        <w:ind w:firstLine="420" w:firstLineChars="200"/>
        <w:rPr>
          <w:rFonts w:hint="eastAsia" w:ascii="Times New Roman"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w:t>
      </w:r>
      <w:r>
        <w:rPr>
          <w:rFonts w:hint="eastAsia" w:ascii="Times New Roman" w:hAnsi="宋体" w:eastAsia="宋体" w:cs="宋体"/>
          <w:b w:val="0"/>
          <w:bCs/>
        </w:rPr>
        <w:t>包括产品名称、单价数量明细和汇总报价），评委会将仅按可明确进行价格扣除的内容进行扣除。</w:t>
      </w:r>
    </w:p>
    <w:p>
      <w:pPr>
        <w:tabs>
          <w:tab w:val="left" w:pos="8200"/>
        </w:tabs>
        <w:spacing w:line="240" w:lineRule="auto"/>
        <w:ind w:firstLine="420" w:firstLineChars="200"/>
        <w:rPr>
          <w:rFonts w:hint="eastAsia" w:ascii="Times New Roman" w:hAnsi="宋体" w:eastAsia="宋体" w:cs="宋体"/>
          <w:b w:val="0"/>
          <w:bCs/>
        </w:rPr>
      </w:pPr>
      <w:r>
        <w:rPr>
          <w:rFonts w:hint="eastAsia" w:ascii="Times New Roman" w:hAnsi="宋体" w:eastAsia="宋体" w:cs="宋体"/>
          <w:b w:val="0"/>
          <w:bCs/>
        </w:rPr>
        <w:t>投标产品如为环境标志产品的，投标人需提供产品及型号所在清单页的复印件并用标识标明，如未提供，评委会将仅按可明确进行价格扣除的内容进行扣除。</w:t>
      </w:r>
    </w:p>
    <w:p>
      <w:pPr>
        <w:rPr>
          <w:rFonts w:hint="default" w:hAnsi="宋体" w:eastAsia="宋体" w:cs="宋体"/>
          <w:b w:val="0"/>
          <w:bCs/>
          <w:szCs w:val="22"/>
          <w:lang w:val="en-US" w:eastAsia="zh-CN"/>
        </w:rPr>
      </w:pPr>
    </w:p>
    <w:p>
      <w:pPr>
        <w:pStyle w:val="4"/>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3"/>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6"/>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3"/>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6"/>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售后服务要求：</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在接到甲方维修及技术服务要求后，乙方须立即响应，</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小时内到现场排除故障（包括所有节假日），</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小时内如果不能及时解决器械在实际工作中出现的问题，乙方须提供不低于故障器械规格型号档次的备用品</w:t>
      </w:r>
      <w:r>
        <w:rPr>
          <w:rFonts w:hint="eastAsia" w:ascii="宋体" w:hAnsi="宋体"/>
          <w:b w:val="0"/>
          <w:bCs/>
          <w:sz w:val="21"/>
          <w:szCs w:val="21"/>
          <w:highlight w:val="none"/>
          <w:u w:val="none"/>
        </w:rPr>
        <w:t>，</w:t>
      </w:r>
      <w:r>
        <w:rPr>
          <w:rFonts w:hint="eastAsia" w:ascii="宋体" w:hAnsi="宋体"/>
          <w:bCs/>
          <w:sz w:val="21"/>
          <w:szCs w:val="21"/>
          <w:highlight w:val="none"/>
          <w:u w:val="none"/>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6"/>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2"/>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3"/>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4"/>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4"/>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7"/>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006" w:firstLineChars="19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Style w:val="2"/>
        <w:rPr>
          <w:lang w:val="zh-CN"/>
        </w:rPr>
      </w:pPr>
    </w:p>
    <w:p>
      <w:pPr>
        <w:pageBreakBefore w:val="0"/>
        <w:kinsoku/>
        <w:wordWrap/>
        <w:overflowPunct/>
        <w:topLinePunct w:val="0"/>
        <w:bidi w:val="0"/>
        <w:spacing w:line="340" w:lineRule="exact"/>
        <w:textAlignment w:val="auto"/>
        <w:rPr>
          <w:rFonts w:ascii="宋体" w:hAnsi="宋体" w:cs="宋体"/>
          <w:bCs/>
          <w:sz w:val="21"/>
          <w:szCs w:val="21"/>
        </w:rPr>
      </w:pPr>
      <w:bookmarkStart w:id="2" w:name="_Toc372533341"/>
      <w:bookmarkStart w:id="3" w:name="_Toc499284719"/>
      <w:r>
        <w:rPr>
          <w:rFonts w:hint="eastAsia" w:ascii="宋体" w:hAnsi="宋体" w:cs="宋体"/>
          <w:b/>
          <w:color w:val="000000"/>
          <w:kern w:val="0"/>
          <w:sz w:val="21"/>
          <w:szCs w:val="21"/>
          <w:lang w:val="zh-CN"/>
        </w:rPr>
        <w:t>目录三、 报价单</w:t>
      </w:r>
    </w:p>
    <w:bookmarkEnd w:id="2"/>
    <w:bookmarkEnd w:id="3"/>
    <w:p>
      <w:pPr>
        <w:pStyle w:val="2"/>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3"/>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none"/>
          <w:lang w:val="zh-CN"/>
        </w:rPr>
      </w:pPr>
      <w:r>
        <w:rPr>
          <w:rFonts w:hint="eastAsia" w:ascii="宋体" w:hAnsi="宋体" w:cs="宋体"/>
          <w:b/>
          <w:bCs w:val="0"/>
          <w:color w:val="000000"/>
          <w:kern w:val="0"/>
          <w:sz w:val="21"/>
          <w:szCs w:val="21"/>
          <w:highlight w:val="none"/>
          <w:lang w:val="zh-CN"/>
        </w:rPr>
        <w:t>注：行数不够可自行增加。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2"/>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7"/>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7"/>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7"/>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2"/>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8"/>
          <w:jc w:val="center"/>
        </w:pPr>
        <w:r>
          <w:rPr>
            <w:rFonts w:hint="eastAsia"/>
          </w:rPr>
          <w:t>24</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1658039B"/>
    <w:multiLevelType w:val="singleLevel"/>
    <w:tmpl w:val="1658039B"/>
    <w:lvl w:ilvl="0" w:tentative="0">
      <w:start w:val="9"/>
      <w:numFmt w:val="chineseCounting"/>
      <w:suff w:val="space"/>
      <w:lvlText w:val="第%1条"/>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D538D0"/>
    <w:rsid w:val="0A1D552E"/>
    <w:rsid w:val="0A275C94"/>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454E14"/>
    <w:rsid w:val="158E72E0"/>
    <w:rsid w:val="169C0CE2"/>
    <w:rsid w:val="18787DD4"/>
    <w:rsid w:val="19F142E2"/>
    <w:rsid w:val="1A073B05"/>
    <w:rsid w:val="1B371485"/>
    <w:rsid w:val="1B701236"/>
    <w:rsid w:val="1C3861F8"/>
    <w:rsid w:val="1C6D5D01"/>
    <w:rsid w:val="1CF245F9"/>
    <w:rsid w:val="1D4E37F9"/>
    <w:rsid w:val="1DAB6FE5"/>
    <w:rsid w:val="1DBC69B5"/>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AB1AFF"/>
    <w:rsid w:val="28E4547F"/>
    <w:rsid w:val="2949677C"/>
    <w:rsid w:val="29D16D77"/>
    <w:rsid w:val="2A2C00D8"/>
    <w:rsid w:val="2BEC2B5B"/>
    <w:rsid w:val="2CC87124"/>
    <w:rsid w:val="2D3239AF"/>
    <w:rsid w:val="2DDD4C48"/>
    <w:rsid w:val="2E8B4616"/>
    <w:rsid w:val="2F1C72B3"/>
    <w:rsid w:val="2F68699C"/>
    <w:rsid w:val="2FA379D4"/>
    <w:rsid w:val="2FA5239C"/>
    <w:rsid w:val="30247B92"/>
    <w:rsid w:val="30274161"/>
    <w:rsid w:val="30F85AFE"/>
    <w:rsid w:val="30FE2734"/>
    <w:rsid w:val="31517FE2"/>
    <w:rsid w:val="31736297"/>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BA61BD"/>
    <w:rsid w:val="4DCB2178"/>
    <w:rsid w:val="4EA01857"/>
    <w:rsid w:val="4F840831"/>
    <w:rsid w:val="50476977"/>
    <w:rsid w:val="508275E8"/>
    <w:rsid w:val="512C5624"/>
    <w:rsid w:val="51E101BC"/>
    <w:rsid w:val="51F374F2"/>
    <w:rsid w:val="533D7674"/>
    <w:rsid w:val="53422EDD"/>
    <w:rsid w:val="53B316E5"/>
    <w:rsid w:val="550A7A2A"/>
    <w:rsid w:val="56832507"/>
    <w:rsid w:val="56851252"/>
    <w:rsid w:val="57124E46"/>
    <w:rsid w:val="5724498D"/>
    <w:rsid w:val="57763155"/>
    <w:rsid w:val="589F66DB"/>
    <w:rsid w:val="5A07520E"/>
    <w:rsid w:val="5A113609"/>
    <w:rsid w:val="5E005F94"/>
    <w:rsid w:val="5E473A9D"/>
    <w:rsid w:val="5EBB3B43"/>
    <w:rsid w:val="5F6366B5"/>
    <w:rsid w:val="5F6E6E08"/>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E446D9"/>
    <w:rsid w:val="6C9E77FB"/>
    <w:rsid w:val="6CA34594"/>
    <w:rsid w:val="6CD3474E"/>
    <w:rsid w:val="6CF46B9E"/>
    <w:rsid w:val="6E7F4B8D"/>
    <w:rsid w:val="6EFB7C74"/>
    <w:rsid w:val="6FEF189F"/>
    <w:rsid w:val="703B2D36"/>
    <w:rsid w:val="709A2852"/>
    <w:rsid w:val="70A64653"/>
    <w:rsid w:val="72133F6A"/>
    <w:rsid w:val="72565CFD"/>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F77CCE"/>
    <w:rsid w:val="7A6D1D3E"/>
    <w:rsid w:val="7C725D31"/>
    <w:rsid w:val="7CE303CB"/>
    <w:rsid w:val="7CEC1640"/>
    <w:rsid w:val="7D080444"/>
    <w:rsid w:val="7E4A2A2B"/>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4">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ind w:left="1138"/>
    </w:pPr>
    <w:rPr>
      <w:rFonts w:ascii="宋体" w:hAnsi="宋体" w:eastAsia="宋体" w:cs="宋体"/>
      <w:sz w:val="21"/>
      <w:szCs w:val="21"/>
      <w:lang w:val="en-US" w:eastAsia="zh-CN" w:bidi="ar-SA"/>
    </w:rPr>
  </w:style>
  <w:style w:type="paragraph" w:styleId="6">
    <w:name w:val="annotation text"/>
    <w:basedOn w:val="1"/>
    <w:autoRedefine/>
    <w:qFormat/>
    <w:uiPriority w:val="0"/>
    <w:pPr>
      <w:jc w:val="left"/>
    </w:pPr>
  </w:style>
  <w:style w:type="paragraph" w:styleId="7">
    <w:name w:val="index 4"/>
    <w:basedOn w:val="1"/>
    <w:next w:val="1"/>
    <w:autoRedefine/>
    <w:semiHidden/>
    <w:qFormat/>
    <w:uiPriority w:val="0"/>
    <w:pPr>
      <w:ind w:left="1260"/>
    </w:p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semiHidden/>
    <w:qFormat/>
    <w:uiPriority w:val="0"/>
    <w:pPr>
      <w:ind w:left="210"/>
      <w:jc w:val="left"/>
    </w:pPr>
    <w:rPr>
      <w:smallCaps/>
      <w:sz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autoRedefine/>
    <w:qFormat/>
    <w:uiPriority w:val="99"/>
    <w:pPr>
      <w:spacing w:line="360" w:lineRule="auto"/>
      <w:ind w:firstLine="420" w:firstLineChars="100"/>
    </w:pPr>
    <w:rPr>
      <w:rFonts w:ascii="Times New Roman" w:hAnsi="Times New Roman" w:cs="Times New Roman"/>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7">
    <w:name w:val="Table Paragraph"/>
    <w:basedOn w:val="1"/>
    <w:autoRedefine/>
    <w:qFormat/>
    <w:uiPriority w:val="1"/>
    <w:rPr>
      <w:rFonts w:ascii="宋体" w:hAnsi="宋体" w:eastAsia="宋体" w:cs="宋体"/>
      <w:lang w:val="en-US" w:eastAsia="zh-CN" w:bidi="ar-SA"/>
    </w:rPr>
  </w:style>
  <w:style w:type="paragraph" w:customStyle="1" w:styleId="18">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18525</Words>
  <Characters>19235</Characters>
  <Lines>0</Lines>
  <Paragraphs>0</Paragraphs>
  <TotalTime>2</TotalTime>
  <ScaleCrop>false</ScaleCrop>
  <LinksUpToDate>false</LinksUpToDate>
  <CharactersWithSpaces>20851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2024-01-23T09:25:42Z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384B0B620B5949A5BF89B5A5012FDB13_13</vt:lpwstr>
  </property>
</Properties>
</file>