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880"/>
        <w:rPr>
          <w:kern w:val="2"/>
          <w:sz w:val="28"/>
          <w:szCs w:val="28"/>
        </w:rPr>
      </w:pPr>
      <w:bookmarkStart w:id="0" w:name="_Toc28359011"/>
      <w:bookmarkStart w:id="1" w:name="_Toc35393797"/>
      <w:bookmarkStart w:id="2" w:name="_Toc39926506"/>
      <w:r>
        <w:rPr>
          <w:rFonts w:hint="eastAsia"/>
        </w:rPr>
        <w:t xml:space="preserve"> 询价</w:t>
      </w:r>
      <w:bookmarkEnd w:id="0"/>
      <w:bookmarkEnd w:id="1"/>
      <w:r>
        <w:rPr>
          <w:rFonts w:hint="eastAsia"/>
        </w:rPr>
        <w:t>通知书</w:t>
      </w:r>
      <w:bookmarkStart w:id="3" w:name="_Toc35393798"/>
      <w:bookmarkStart w:id="4" w:name="_Toc28359089"/>
      <w:bookmarkStart w:id="5" w:name="_Toc35393629"/>
      <w:bookmarkStart w:id="6" w:name="_Toc28359012"/>
    </w:p>
    <w:p>
      <w:r>
        <w:rPr>
          <w:rFonts w:hint="eastAsia"/>
        </w:rPr>
        <w:t>项目概况</w:t>
      </w:r>
    </w:p>
    <w:p>
      <w:pPr>
        <w:rPr>
          <w:rFonts w:ascii="黑体" w:hAnsi="黑体" w:eastAsia="黑体" w:cs="宋体"/>
        </w:rPr>
      </w:pPr>
      <w:r>
        <w:rPr>
          <w:rFonts w:hint="eastAsia"/>
        </w:rPr>
        <w:t>溧水区人民医院包一新大楼气体灭火系统维护项目,包二10KV配电房预防性测试项目的潜在供应商应在溧水区人民医院官网 获取采购文件，并于2024年4月2日14点25分（北京时间）前提交响应</w:t>
      </w:r>
      <w:r>
        <w:t>文件</w:t>
      </w:r>
      <w:r>
        <w:rPr>
          <w:rFonts w:hint="eastAsia"/>
        </w:rPr>
        <w:t>。</w:t>
      </w:r>
    </w:p>
    <w:p>
      <w:pPr>
        <w:pStyle w:val="4"/>
        <w:numPr>
          <w:ilvl w:val="0"/>
          <w:numId w:val="0"/>
        </w:numPr>
        <w:ind w:left="284"/>
      </w:pPr>
      <w:r>
        <w:rPr>
          <w:rFonts w:hint="eastAsia"/>
        </w:rPr>
        <w:t>一、项目基本情况</w:t>
      </w:r>
      <w:bookmarkEnd w:id="3"/>
      <w:bookmarkEnd w:id="4"/>
      <w:bookmarkEnd w:id="5"/>
      <w:bookmarkEnd w:id="6"/>
    </w:p>
    <w:p>
      <w:pPr>
        <w:rPr>
          <w:rFonts w:hint="default" w:eastAsia="仿宋"/>
          <w:lang w:val="en-US" w:eastAsia="zh-CN"/>
        </w:rPr>
      </w:pPr>
      <w:r>
        <w:rPr>
          <w:rFonts w:hint="eastAsia"/>
        </w:rPr>
        <w:t>项目编号：LSRY-ZB2024-Q0</w:t>
      </w:r>
      <w:r>
        <w:rPr>
          <w:rFonts w:hint="eastAsia"/>
          <w:lang w:val="en-US" w:eastAsia="zh-CN"/>
        </w:rPr>
        <w:t>03</w:t>
      </w:r>
    </w:p>
    <w:p>
      <w:r>
        <w:rPr>
          <w:rFonts w:hint="eastAsia"/>
        </w:rPr>
        <w:t>项目名称：</w:t>
      </w:r>
      <w:r>
        <w:rPr>
          <w:rFonts w:hint="eastAsia"/>
          <w:u w:val="none"/>
        </w:rPr>
        <w:t>溧水区人民医院</w:t>
      </w:r>
      <w:r>
        <w:rPr>
          <w:rFonts w:hint="eastAsia"/>
        </w:rPr>
        <w:t>包一新大楼气体灭火系统维护项目,包二10KV配电房预防性测试项目</w:t>
      </w:r>
    </w:p>
    <w:p>
      <w:pPr>
        <w:pStyle w:val="9"/>
        <w:ind w:left="1968" w:right="1968"/>
      </w:pPr>
      <w:r>
        <w:rPr>
          <w:rFonts w:hint="eastAsia"/>
        </w:rPr>
        <w:t>采购方式：询价</w:t>
      </w:r>
    </w:p>
    <w:p>
      <w:pPr>
        <w:pStyle w:val="9"/>
        <w:ind w:left="1968" w:right="1968"/>
      </w:pPr>
      <w:r>
        <w:rPr>
          <w:rFonts w:hint="eastAsia"/>
          <w:u w:val="none"/>
        </w:rPr>
        <w:t>预算及最高限价</w:t>
      </w:r>
      <w:r>
        <w:rPr>
          <w:rFonts w:hint="eastAsia"/>
        </w:rPr>
        <w:t>和服务期</w:t>
      </w:r>
      <w:r>
        <w:rPr>
          <w:rFonts w:hint="eastAsia"/>
          <w:u w:val="none"/>
        </w:rPr>
        <w:t>：</w:t>
      </w:r>
      <w:r>
        <w:rPr>
          <w:rFonts w:hint="eastAsia"/>
        </w:rPr>
        <w:t>包一新大楼气体灭火系统维护项目4万元／年，服务期一年；包二10KV配电房预防性测试项目4.2万</w:t>
      </w:r>
      <w:r>
        <w:rPr>
          <w:rFonts w:hint="eastAsia"/>
          <w:u w:val="none"/>
        </w:rPr>
        <w:t>元</w:t>
      </w:r>
      <w:r>
        <w:rPr>
          <w:rFonts w:hint="eastAsia"/>
        </w:rPr>
        <w:t>／年，服务期二年，合同一年一签</w:t>
      </w:r>
    </w:p>
    <w:p>
      <w:pPr>
        <w:pStyle w:val="9"/>
        <w:ind w:left="1968" w:right="1968"/>
      </w:pPr>
      <w:r>
        <w:rPr>
          <w:rFonts w:hint="eastAsia"/>
        </w:rPr>
        <w:t>本项目不接受联合体。</w:t>
      </w:r>
    </w:p>
    <w:p>
      <w:pPr>
        <w:pStyle w:val="23"/>
        <w:numPr>
          <w:ilvl w:val="0"/>
          <w:numId w:val="3"/>
        </w:numPr>
        <w:ind w:firstLineChars="0"/>
      </w:pPr>
      <w:bookmarkStart w:id="7" w:name="_Toc35393630"/>
      <w:bookmarkStart w:id="8" w:name="_Toc28359013"/>
      <w:bookmarkStart w:id="9" w:name="_Toc35393799"/>
      <w:bookmarkStart w:id="10" w:name="_Toc28359090"/>
      <w:r>
        <w:rPr>
          <w:rFonts w:hint="eastAsia"/>
        </w:rPr>
        <w:t>采购内容及要求</w:t>
      </w:r>
    </w:p>
    <w:p>
      <w:r>
        <w:rPr>
          <w:rFonts w:hint="eastAsia"/>
        </w:rPr>
        <w:t>包一新大楼气体灭火系统维护项目</w:t>
      </w:r>
    </w:p>
    <w:p>
      <w:pPr>
        <w:ind w:firstLine="560"/>
        <w:rPr>
          <w:b w:val="0"/>
          <w:bCs w:val="0"/>
        </w:rPr>
      </w:pPr>
      <w:r>
        <w:rPr>
          <w:rFonts w:hint="eastAsia"/>
          <w:b w:val="0"/>
          <w:bCs w:val="0"/>
        </w:rPr>
        <w:t>为确保医院新大楼消防气体灭火系统气瓶罐处于完整、有效状态，满足消防安全相关要求。</w:t>
      </w:r>
    </w:p>
    <w:p>
      <w:pPr>
        <w:ind w:firstLine="560"/>
        <w:rPr>
          <w:b w:val="0"/>
          <w:bCs w:val="0"/>
        </w:rPr>
      </w:pPr>
      <w:r>
        <w:rPr>
          <w:rFonts w:hint="eastAsia"/>
          <w:b w:val="0"/>
          <w:bCs w:val="0"/>
        </w:rPr>
        <w:t>服务内容</w:t>
      </w:r>
    </w:p>
    <w:p>
      <w:pPr>
        <w:ind w:firstLine="560"/>
        <w:rPr>
          <w:b w:val="0"/>
          <w:bCs w:val="0"/>
        </w:rPr>
      </w:pPr>
      <w:r>
        <w:rPr>
          <w:rFonts w:hint="eastAsia"/>
          <w:b w:val="0"/>
          <w:bCs w:val="0"/>
        </w:rPr>
        <w:t>医院新大楼信息中心机房和地下室原气体灭火设备气瓶罐检测；</w:t>
      </w:r>
      <w:r>
        <w:rPr>
          <w:b w:val="0"/>
          <w:bCs w:val="0"/>
        </w:rPr>
        <w:t>七氟丙烷气体</w:t>
      </w:r>
      <w:r>
        <w:rPr>
          <w:rFonts w:hint="eastAsia"/>
          <w:b w:val="0"/>
          <w:bCs w:val="0"/>
        </w:rPr>
        <w:t>、氮气气体补充装：</w:t>
      </w:r>
    </w:p>
    <w:p>
      <w:pPr>
        <w:pStyle w:val="23"/>
        <w:numPr>
          <w:ilvl w:val="0"/>
          <w:numId w:val="4"/>
        </w:numPr>
        <w:ind w:firstLineChars="0"/>
        <w:rPr>
          <w:b w:val="0"/>
          <w:bCs w:val="0"/>
        </w:rPr>
      </w:pPr>
      <w:r>
        <w:rPr>
          <w:rFonts w:hint="eastAsia"/>
          <w:b w:val="0"/>
          <w:bCs w:val="0"/>
        </w:rPr>
        <w:t>目前我院新大楼</w:t>
      </w:r>
      <w:r>
        <w:rPr>
          <w:b w:val="0"/>
          <w:bCs w:val="0"/>
        </w:rPr>
        <w:t>七氟丙烷气体灭火装置气瓶罐</w:t>
      </w:r>
    </w:p>
    <w:tbl>
      <w:tblPr>
        <w:tblStyle w:val="16"/>
        <w:tblW w:w="8730" w:type="dxa"/>
        <w:tblInd w:w="93" w:type="dxa"/>
        <w:tblLayout w:type="autofit"/>
        <w:tblCellMar>
          <w:top w:w="0" w:type="dxa"/>
          <w:left w:w="108" w:type="dxa"/>
          <w:bottom w:w="0" w:type="dxa"/>
          <w:right w:w="108" w:type="dxa"/>
        </w:tblCellMar>
      </w:tblPr>
      <w:tblGrid>
        <w:gridCol w:w="2295"/>
        <w:gridCol w:w="1665"/>
        <w:gridCol w:w="1515"/>
        <w:gridCol w:w="1080"/>
        <w:gridCol w:w="2175"/>
      </w:tblGrid>
      <w:tr>
        <w:tblPrEx>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位置</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规格型号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充装量（KG）</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数量</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rPr>
              <w:t>备注</w:t>
            </w:r>
          </w:p>
        </w:tc>
      </w:tr>
      <w:tr>
        <w:tblPrEx>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4楼信息科机房</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QMP 90 /2.5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p>
        </w:tc>
      </w:tr>
      <w:tr>
        <w:tblPrEx>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1楼UPS间</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QMP 90 /2.5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p>
        </w:tc>
      </w:tr>
      <w:tr>
        <w:tblPrEx>
          <w:tblCellMar>
            <w:top w:w="0" w:type="dxa"/>
            <w:left w:w="108" w:type="dxa"/>
            <w:bottom w:w="0" w:type="dxa"/>
            <w:right w:w="108" w:type="dxa"/>
          </w:tblCellMar>
        </w:tblPrEx>
        <w:trPr>
          <w:trHeight w:val="317"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地下室1层</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QMP 120 /4.2</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15</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p>
        </w:tc>
      </w:tr>
      <w:tr>
        <w:tblPrEx>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地下室2层</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QMP 120 /2.5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3</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p>
        </w:tc>
      </w:tr>
      <w:tr>
        <w:tblPrEx>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地下室2层</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QMP 120 /2.5</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r>
              <w:rPr>
                <w:rFonts w:hint="eastAsia"/>
                <w:b w:val="0"/>
                <w:bCs w:val="0"/>
                <w:lang w:bidi="ar"/>
              </w:rPr>
              <w:t>1</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rPr>
            </w:pPr>
          </w:p>
        </w:tc>
      </w:tr>
      <w:tr>
        <w:tblPrEx>
          <w:tblCellMar>
            <w:top w:w="0" w:type="dxa"/>
            <w:left w:w="108" w:type="dxa"/>
            <w:bottom w:w="0" w:type="dxa"/>
            <w:right w:w="108" w:type="dxa"/>
          </w:tblCellMar>
        </w:tblPrEx>
        <w:trPr>
          <w:trHeight w:val="270" w:hRule="atLeast"/>
        </w:trPr>
        <w:tc>
          <w:tcPr>
            <w:tcW w:w="873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rFonts w:hAnsi="宋体"/>
                <w:b w:val="0"/>
                <w:bCs w:val="0"/>
                <w:sz w:val="22"/>
                <w:lang w:bidi="ar"/>
              </w:rPr>
            </w:pPr>
            <w:r>
              <w:rPr>
                <w:rFonts w:hint="eastAsia"/>
                <w:b w:val="0"/>
                <w:bCs w:val="0"/>
              </w:rPr>
              <w:t>氮气</w:t>
            </w:r>
            <w:r>
              <w:rPr>
                <w:b w:val="0"/>
                <w:bCs w:val="0"/>
              </w:rPr>
              <w:t>气体</w:t>
            </w:r>
            <w:r>
              <w:rPr>
                <w:rFonts w:hint="eastAsia"/>
                <w:b w:val="0"/>
                <w:bCs w:val="0"/>
              </w:rPr>
              <w:t>充装</w:t>
            </w:r>
          </w:p>
        </w:tc>
      </w:tr>
      <w:tr>
        <w:tblPrEx>
          <w:tblCellMar>
            <w:top w:w="0" w:type="dxa"/>
            <w:left w:w="108" w:type="dxa"/>
            <w:bottom w:w="0" w:type="dxa"/>
            <w:right w:w="108" w:type="dxa"/>
          </w:tblCellMar>
        </w:tblPrEx>
        <w:trPr>
          <w:trHeight w:val="27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lang w:bidi="ar"/>
              </w:rPr>
            </w:pPr>
            <w:r>
              <w:rPr>
                <w:rFonts w:hint="eastAsia"/>
                <w:b w:val="0"/>
                <w:bCs w:val="0"/>
                <w:lang w:bidi="ar"/>
              </w:rPr>
              <w:t>地下室1层（</w:t>
            </w:r>
            <w:r>
              <w:rPr>
                <w:rFonts w:hint="eastAsia"/>
                <w:b w:val="0"/>
                <w:bCs w:val="0"/>
                <w:sz w:val="24"/>
                <w:szCs w:val="24"/>
              </w:rPr>
              <w:t>氮气</w:t>
            </w:r>
            <w:r>
              <w:rPr>
                <w:rFonts w:hint="eastAsia"/>
                <w:b w:val="0"/>
                <w:bCs w:val="0"/>
                <w:lang w:bidi="ar"/>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lang w:bidi="ar"/>
              </w:rPr>
            </w:pPr>
            <w:r>
              <w:rPr>
                <w:rFonts w:hint="eastAsia"/>
                <w:b w:val="0"/>
                <w:bCs w:val="0"/>
                <w:lang w:bidi="ar"/>
              </w:rPr>
              <w:t>QQP4/6</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lang w:bidi="ar"/>
              </w:rPr>
            </w:pPr>
            <w:r>
              <w:rPr>
                <w:rFonts w:hint="eastAsia"/>
                <w:b w:val="0"/>
                <w:bCs w:val="0"/>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lang w:bidi="ar"/>
              </w:rPr>
            </w:pPr>
            <w:r>
              <w:rPr>
                <w:rFonts w:hint="eastAsia"/>
                <w:b w:val="0"/>
                <w:bCs w:val="0"/>
                <w:lang w:bidi="ar"/>
              </w:rPr>
              <w:t>2</w:t>
            </w:r>
          </w:p>
        </w:tc>
        <w:tc>
          <w:tcPr>
            <w:tcW w:w="2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560"/>
              <w:rPr>
                <w:b w:val="0"/>
                <w:bCs w:val="0"/>
                <w:lang w:bidi="ar"/>
              </w:rPr>
            </w:pPr>
          </w:p>
        </w:tc>
      </w:tr>
    </w:tbl>
    <w:p>
      <w:pPr>
        <w:ind w:firstLine="560"/>
        <w:rPr>
          <w:b w:val="0"/>
          <w:bCs w:val="0"/>
        </w:rPr>
      </w:pPr>
    </w:p>
    <w:p>
      <w:pPr>
        <w:ind w:firstLine="560"/>
        <w:rPr>
          <w:b w:val="0"/>
          <w:bCs w:val="0"/>
        </w:rPr>
      </w:pPr>
      <w:r>
        <w:rPr>
          <w:rFonts w:hint="eastAsia"/>
          <w:b w:val="0"/>
          <w:bCs w:val="0"/>
        </w:rPr>
        <w:t>2.气体灭火钢瓶的检验；所有瓶组密封性能试验；七氟丙烷灭火剂的增补。</w:t>
      </w:r>
    </w:p>
    <w:p>
      <w:pPr>
        <w:ind w:firstLine="560"/>
        <w:rPr>
          <w:b w:val="0"/>
          <w:bCs w:val="0"/>
        </w:rPr>
      </w:pPr>
      <w:r>
        <w:rPr>
          <w:rFonts w:hint="eastAsia"/>
          <w:b w:val="0"/>
          <w:bCs w:val="0"/>
        </w:rPr>
        <w:t>服务标准及要求</w:t>
      </w:r>
    </w:p>
    <w:p>
      <w:pPr>
        <w:ind w:firstLine="560"/>
        <w:rPr>
          <w:b w:val="0"/>
          <w:bCs w:val="0"/>
        </w:rPr>
      </w:pPr>
      <w:r>
        <w:rPr>
          <w:rFonts w:hint="eastAsia"/>
          <w:b w:val="0"/>
          <w:bCs w:val="0"/>
        </w:rPr>
        <w:t>1.</w:t>
      </w:r>
      <w:r>
        <w:rPr>
          <w:b w:val="0"/>
          <w:bCs w:val="0"/>
        </w:rPr>
        <w:t xml:space="preserve"> 依据《气瓶安全监察规程》</w:t>
      </w:r>
      <w:r>
        <w:rPr>
          <w:rFonts w:hint="eastAsia"/>
          <w:b w:val="0"/>
          <w:bCs w:val="0"/>
        </w:rPr>
        <w:t>对钢瓶的检验出具有效的检验报告。</w:t>
      </w:r>
    </w:p>
    <w:p>
      <w:pPr>
        <w:ind w:firstLine="560"/>
        <w:rPr>
          <w:b w:val="0"/>
          <w:bCs w:val="0"/>
        </w:rPr>
      </w:pPr>
      <w:r>
        <w:rPr>
          <w:rFonts w:hint="eastAsia"/>
          <w:b w:val="0"/>
          <w:bCs w:val="0"/>
        </w:rPr>
        <w:t>2. 保证系统正常工作，满足现行消防规范的要求。</w:t>
      </w:r>
    </w:p>
    <w:p>
      <w:pPr>
        <w:ind w:firstLine="560"/>
        <w:rPr>
          <w:b w:val="0"/>
          <w:bCs w:val="0"/>
        </w:rPr>
      </w:pPr>
      <w:r>
        <w:rPr>
          <w:rFonts w:hint="eastAsia"/>
          <w:b w:val="0"/>
          <w:bCs w:val="0"/>
        </w:rPr>
        <w:t>服务费用：最高限价（4万元）</w:t>
      </w:r>
    </w:p>
    <w:p>
      <w:pPr>
        <w:ind w:firstLine="560"/>
        <w:rPr>
          <w:b w:val="0"/>
          <w:bCs w:val="0"/>
        </w:rPr>
      </w:pPr>
      <w:r>
        <w:rPr>
          <w:rFonts w:hint="eastAsia"/>
          <w:b w:val="0"/>
          <w:bCs w:val="0"/>
        </w:rPr>
        <w:t>费用含钢瓶检验费、瓶组密封性能试验费、补充装七氟丙烷灭火剂（满足规范要求）、拆装费、运输费等其它应该包含的所有一切费用。</w:t>
      </w:r>
    </w:p>
    <w:p>
      <w:pPr>
        <w:ind w:firstLine="560"/>
        <w:rPr>
          <w:b w:val="0"/>
          <w:bCs w:val="0"/>
        </w:rPr>
      </w:pPr>
    </w:p>
    <w:p>
      <w:r>
        <w:rPr>
          <w:rFonts w:hint="eastAsia"/>
        </w:rPr>
        <w:t>包二10KV配电房预防性测试项目</w:t>
      </w:r>
    </w:p>
    <w:p>
      <w:pPr>
        <w:rPr>
          <w:rFonts w:hint="eastAsia"/>
        </w:rPr>
      </w:pPr>
    </w:p>
    <w:p>
      <w:pPr>
        <w:ind w:firstLine="560"/>
        <w:rPr>
          <w:rFonts w:hint="eastAsia"/>
          <w:b w:val="0"/>
          <w:bCs w:val="0"/>
        </w:rPr>
      </w:pPr>
      <w:r>
        <w:rPr>
          <w:rFonts w:hint="eastAsia"/>
          <w:b w:val="0"/>
          <w:bCs w:val="0"/>
        </w:rPr>
        <w:t>一、项目背景</w:t>
      </w:r>
    </w:p>
    <w:p>
      <w:pPr>
        <w:ind w:firstLine="560"/>
        <w:rPr>
          <w:rFonts w:hint="eastAsia"/>
          <w:b w:val="0"/>
          <w:bCs w:val="0"/>
        </w:rPr>
      </w:pPr>
      <w:r>
        <w:rPr>
          <w:rFonts w:hint="eastAsia"/>
          <w:b w:val="0"/>
          <w:bCs w:val="0"/>
        </w:rPr>
        <w:t>医院现有两个座10KV配电房，分别位于3号楼负一层和综合病房楼负一层，共有8台容量为2000KVA以下的三相电力变压器。现需每年对两座10KV配电房进行预防性测试，包含10KV变压器预防性试验、10KV断路器预防性试验、10KV负荷隔离开关预防性试验、10KV电缆预防性试验、10KV母线耐压试验、10KV避雷器预防性试验接地网试验等。</w:t>
      </w:r>
    </w:p>
    <w:p>
      <w:pPr>
        <w:ind w:firstLine="560"/>
        <w:rPr>
          <w:rFonts w:hint="eastAsia"/>
          <w:b w:val="0"/>
          <w:bCs w:val="0"/>
        </w:rPr>
      </w:pPr>
      <w:r>
        <w:rPr>
          <w:rFonts w:hint="eastAsia"/>
          <w:b w:val="0"/>
          <w:bCs w:val="0"/>
        </w:rPr>
        <w:t>二、具体试验需求</w:t>
      </w:r>
    </w:p>
    <w:p>
      <w:pPr>
        <w:ind w:firstLine="560"/>
        <w:rPr>
          <w:rFonts w:hint="eastAsia"/>
          <w:b w:val="0"/>
          <w:bCs w:val="0"/>
        </w:rPr>
      </w:pPr>
      <w:r>
        <w:rPr>
          <w:rFonts w:hint="eastAsia"/>
          <w:b w:val="0"/>
          <w:bCs w:val="0"/>
        </w:rPr>
        <w:t>对10kV配电房做预防性测试，出具测试报告。</w:t>
      </w:r>
    </w:p>
    <w:p>
      <w:pPr>
        <w:ind w:firstLine="560"/>
        <w:rPr>
          <w:rFonts w:hint="eastAsia"/>
          <w:b w:val="0"/>
          <w:bCs w:val="0"/>
        </w:rPr>
      </w:pPr>
      <w:r>
        <w:rPr>
          <w:rFonts w:hint="eastAsia"/>
          <w:b w:val="0"/>
          <w:bCs w:val="0"/>
        </w:rPr>
        <w:t>预防性试验项目（包含，但不限于）</w:t>
      </w:r>
    </w:p>
    <w:tbl>
      <w:tblPr>
        <w:tblStyle w:val="16"/>
        <w:tblW w:w="8438" w:type="dxa"/>
        <w:tblInd w:w="0" w:type="dxa"/>
        <w:tblLayout w:type="autofit"/>
        <w:tblCellMar>
          <w:top w:w="0" w:type="dxa"/>
          <w:left w:w="0" w:type="dxa"/>
          <w:bottom w:w="0" w:type="dxa"/>
          <w:right w:w="0" w:type="dxa"/>
        </w:tblCellMar>
      </w:tblPr>
      <w:tblGrid>
        <w:gridCol w:w="1050"/>
        <w:gridCol w:w="4143"/>
        <w:gridCol w:w="3245"/>
      </w:tblGrid>
      <w:tr>
        <w:tblPrEx>
          <w:tblCellMar>
            <w:top w:w="0" w:type="dxa"/>
            <w:left w:w="0" w:type="dxa"/>
            <w:bottom w:w="0" w:type="dxa"/>
            <w:right w:w="0" w:type="dxa"/>
          </w:tblCellMar>
        </w:tblPrEx>
        <w:trPr>
          <w:trHeight w:val="645" w:hRule="atLeast"/>
        </w:trPr>
        <w:tc>
          <w:tcPr>
            <w:tcW w:w="87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序号</w:t>
            </w:r>
          </w:p>
        </w:tc>
        <w:tc>
          <w:tcPr>
            <w:tcW w:w="4247" w:type="dxa"/>
            <w:tcBorders>
              <w:top w:val="single" w:color="auto" w:sz="6" w:space="0"/>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测试方式</w:t>
            </w:r>
          </w:p>
        </w:tc>
        <w:tc>
          <w:tcPr>
            <w:tcW w:w="3321" w:type="dxa"/>
            <w:tcBorders>
              <w:top w:val="single" w:color="auto" w:sz="6" w:space="0"/>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测试内容</w:t>
            </w:r>
          </w:p>
        </w:tc>
      </w:tr>
      <w:tr>
        <w:tblPrEx>
          <w:tblCellMar>
            <w:top w:w="0" w:type="dxa"/>
            <w:left w:w="0" w:type="dxa"/>
            <w:bottom w:w="0" w:type="dxa"/>
            <w:right w:w="0" w:type="dxa"/>
          </w:tblCellMar>
        </w:tblPrEx>
        <w:trPr>
          <w:trHeight w:val="960" w:hRule="atLeast"/>
        </w:trPr>
        <w:tc>
          <w:tcPr>
            <w:tcW w:w="870" w:type="dxa"/>
            <w:tcBorders>
              <w:top w:val="nil"/>
              <w:left w:val="single" w:color="auto" w:sz="6" w:space="0"/>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1</w:t>
            </w:r>
          </w:p>
        </w:tc>
        <w:tc>
          <w:tcPr>
            <w:tcW w:w="4247" w:type="dxa"/>
            <w:tcBorders>
              <w:top w:val="nil"/>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10KV变压器预防性试验</w:t>
            </w:r>
          </w:p>
        </w:tc>
        <w:tc>
          <w:tcPr>
            <w:tcW w:w="3321" w:type="dxa"/>
            <w:tcBorders>
              <w:top w:val="nil"/>
              <w:left w:val="nil"/>
              <w:bottom w:val="single" w:color="auto" w:sz="6" w:space="0"/>
              <w:right w:val="single" w:color="auto" w:sz="6" w:space="0"/>
            </w:tcBorders>
            <w:tcMar>
              <w:left w:w="105" w:type="dxa"/>
              <w:right w:w="105" w:type="dxa"/>
            </w:tcMar>
          </w:tcPr>
          <w:p>
            <w:pPr>
              <w:ind w:firstLine="560"/>
              <w:rPr>
                <w:rFonts w:hint="eastAsia"/>
                <w:b w:val="0"/>
                <w:bCs w:val="0"/>
              </w:rPr>
            </w:pPr>
            <w:r>
              <w:rPr>
                <w:rFonts w:hint="eastAsia"/>
                <w:b w:val="0"/>
                <w:bCs w:val="0"/>
              </w:rPr>
              <w:t>1、绝缘测试；</w:t>
            </w:r>
          </w:p>
          <w:p>
            <w:pPr>
              <w:ind w:firstLine="560"/>
              <w:rPr>
                <w:rFonts w:hint="eastAsia"/>
                <w:b w:val="0"/>
                <w:bCs w:val="0"/>
              </w:rPr>
            </w:pPr>
            <w:r>
              <w:rPr>
                <w:rFonts w:hint="eastAsia"/>
                <w:b w:val="0"/>
                <w:bCs w:val="0"/>
              </w:rPr>
              <w:t>2、交流耐压测试；</w:t>
            </w:r>
          </w:p>
          <w:p>
            <w:pPr>
              <w:ind w:firstLine="560"/>
              <w:rPr>
                <w:rFonts w:hint="eastAsia"/>
                <w:b w:val="0"/>
                <w:bCs w:val="0"/>
              </w:rPr>
            </w:pPr>
            <w:r>
              <w:rPr>
                <w:rFonts w:hint="eastAsia"/>
                <w:b w:val="0"/>
                <w:bCs w:val="0"/>
              </w:rPr>
              <w:t>3、直流电阻测试。</w:t>
            </w:r>
          </w:p>
        </w:tc>
      </w:tr>
      <w:tr>
        <w:tblPrEx>
          <w:tblCellMar>
            <w:top w:w="0" w:type="dxa"/>
            <w:left w:w="0" w:type="dxa"/>
            <w:bottom w:w="0" w:type="dxa"/>
            <w:right w:w="0" w:type="dxa"/>
          </w:tblCellMar>
        </w:tblPrEx>
        <w:trPr>
          <w:trHeight w:val="1275" w:hRule="atLeast"/>
        </w:trPr>
        <w:tc>
          <w:tcPr>
            <w:tcW w:w="870" w:type="dxa"/>
            <w:tcBorders>
              <w:top w:val="nil"/>
              <w:left w:val="single" w:color="auto" w:sz="6" w:space="0"/>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2</w:t>
            </w:r>
          </w:p>
        </w:tc>
        <w:tc>
          <w:tcPr>
            <w:tcW w:w="4247" w:type="dxa"/>
            <w:tcBorders>
              <w:top w:val="nil"/>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10KV断路器预防性试验</w:t>
            </w:r>
          </w:p>
        </w:tc>
        <w:tc>
          <w:tcPr>
            <w:tcW w:w="3321" w:type="dxa"/>
            <w:tcBorders>
              <w:top w:val="nil"/>
              <w:left w:val="nil"/>
              <w:bottom w:val="single" w:color="auto" w:sz="6" w:space="0"/>
              <w:right w:val="single" w:color="auto" w:sz="6" w:space="0"/>
            </w:tcBorders>
            <w:tcMar>
              <w:left w:w="105" w:type="dxa"/>
              <w:right w:w="105" w:type="dxa"/>
            </w:tcMar>
          </w:tcPr>
          <w:p>
            <w:pPr>
              <w:ind w:firstLine="560"/>
              <w:rPr>
                <w:rFonts w:hint="eastAsia"/>
                <w:b w:val="0"/>
                <w:bCs w:val="0"/>
              </w:rPr>
            </w:pPr>
            <w:r>
              <w:rPr>
                <w:rFonts w:hint="eastAsia"/>
                <w:b w:val="0"/>
                <w:bCs w:val="0"/>
              </w:rPr>
              <w:t>1、耐压测试；</w:t>
            </w:r>
          </w:p>
          <w:p>
            <w:pPr>
              <w:ind w:firstLine="560"/>
              <w:rPr>
                <w:rFonts w:hint="eastAsia"/>
                <w:b w:val="0"/>
                <w:bCs w:val="0"/>
              </w:rPr>
            </w:pPr>
            <w:r>
              <w:rPr>
                <w:rFonts w:hint="eastAsia"/>
                <w:b w:val="0"/>
                <w:bCs w:val="0"/>
              </w:rPr>
              <w:t>2、绝缘测试；</w:t>
            </w:r>
          </w:p>
          <w:p>
            <w:pPr>
              <w:ind w:firstLine="560"/>
              <w:rPr>
                <w:rFonts w:hint="eastAsia"/>
                <w:b w:val="0"/>
                <w:bCs w:val="0"/>
              </w:rPr>
            </w:pPr>
            <w:r>
              <w:rPr>
                <w:rFonts w:hint="eastAsia"/>
                <w:b w:val="0"/>
                <w:bCs w:val="0"/>
              </w:rPr>
              <w:t>3、接触电阻测试；</w:t>
            </w:r>
          </w:p>
          <w:p>
            <w:pPr>
              <w:ind w:firstLine="560"/>
              <w:rPr>
                <w:rFonts w:hint="eastAsia"/>
                <w:b w:val="0"/>
                <w:bCs w:val="0"/>
              </w:rPr>
            </w:pPr>
            <w:r>
              <w:rPr>
                <w:rFonts w:hint="eastAsia"/>
                <w:b w:val="0"/>
                <w:bCs w:val="0"/>
              </w:rPr>
              <w:t>4、分合测试。</w:t>
            </w:r>
          </w:p>
        </w:tc>
      </w:tr>
      <w:tr>
        <w:tblPrEx>
          <w:tblCellMar>
            <w:top w:w="0" w:type="dxa"/>
            <w:left w:w="0" w:type="dxa"/>
            <w:bottom w:w="0" w:type="dxa"/>
            <w:right w:w="0" w:type="dxa"/>
          </w:tblCellMar>
        </w:tblPrEx>
        <w:trPr>
          <w:trHeight w:val="960" w:hRule="atLeast"/>
        </w:trPr>
        <w:tc>
          <w:tcPr>
            <w:tcW w:w="870" w:type="dxa"/>
            <w:tcBorders>
              <w:top w:val="nil"/>
              <w:left w:val="single" w:color="auto" w:sz="6" w:space="0"/>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3</w:t>
            </w:r>
          </w:p>
        </w:tc>
        <w:tc>
          <w:tcPr>
            <w:tcW w:w="4247" w:type="dxa"/>
            <w:tcBorders>
              <w:top w:val="nil"/>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10KV负荷隔离开关预防性试验</w:t>
            </w:r>
          </w:p>
        </w:tc>
        <w:tc>
          <w:tcPr>
            <w:tcW w:w="3321" w:type="dxa"/>
            <w:tcBorders>
              <w:top w:val="nil"/>
              <w:left w:val="nil"/>
              <w:bottom w:val="single" w:color="auto" w:sz="6" w:space="0"/>
              <w:right w:val="single" w:color="auto" w:sz="6" w:space="0"/>
            </w:tcBorders>
            <w:tcMar>
              <w:left w:w="105" w:type="dxa"/>
              <w:right w:w="105" w:type="dxa"/>
            </w:tcMar>
          </w:tcPr>
          <w:p>
            <w:pPr>
              <w:ind w:firstLine="560"/>
              <w:rPr>
                <w:rFonts w:hint="eastAsia"/>
                <w:b w:val="0"/>
                <w:bCs w:val="0"/>
              </w:rPr>
            </w:pPr>
            <w:r>
              <w:rPr>
                <w:rFonts w:hint="eastAsia"/>
                <w:b w:val="0"/>
                <w:bCs w:val="0"/>
              </w:rPr>
              <w:t>1、耐压测试；</w:t>
            </w:r>
          </w:p>
          <w:p>
            <w:pPr>
              <w:ind w:firstLine="560"/>
              <w:rPr>
                <w:rFonts w:hint="eastAsia"/>
                <w:b w:val="0"/>
                <w:bCs w:val="0"/>
              </w:rPr>
            </w:pPr>
            <w:r>
              <w:rPr>
                <w:rFonts w:hint="eastAsia"/>
                <w:b w:val="0"/>
                <w:bCs w:val="0"/>
              </w:rPr>
              <w:t>2、绝缘测试；</w:t>
            </w:r>
          </w:p>
          <w:p>
            <w:pPr>
              <w:ind w:firstLine="560"/>
              <w:rPr>
                <w:rFonts w:hint="eastAsia"/>
                <w:b w:val="0"/>
                <w:bCs w:val="0"/>
              </w:rPr>
            </w:pPr>
            <w:r>
              <w:rPr>
                <w:rFonts w:hint="eastAsia"/>
                <w:b w:val="0"/>
                <w:bCs w:val="0"/>
              </w:rPr>
              <w:t>3、接触电阻测试。</w:t>
            </w:r>
          </w:p>
        </w:tc>
      </w:tr>
      <w:tr>
        <w:tblPrEx>
          <w:tblCellMar>
            <w:top w:w="0" w:type="dxa"/>
            <w:left w:w="0" w:type="dxa"/>
            <w:bottom w:w="0" w:type="dxa"/>
            <w:right w:w="0" w:type="dxa"/>
          </w:tblCellMar>
        </w:tblPrEx>
        <w:trPr>
          <w:trHeight w:val="510" w:hRule="atLeast"/>
        </w:trPr>
        <w:tc>
          <w:tcPr>
            <w:tcW w:w="870" w:type="dxa"/>
            <w:tcBorders>
              <w:top w:val="nil"/>
              <w:left w:val="single" w:color="auto" w:sz="6" w:space="0"/>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4</w:t>
            </w:r>
          </w:p>
        </w:tc>
        <w:tc>
          <w:tcPr>
            <w:tcW w:w="4247" w:type="dxa"/>
            <w:tcBorders>
              <w:top w:val="nil"/>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10KV电缆预防性试验</w:t>
            </w:r>
          </w:p>
        </w:tc>
        <w:tc>
          <w:tcPr>
            <w:tcW w:w="3321" w:type="dxa"/>
            <w:tcBorders>
              <w:top w:val="nil"/>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绝缘测试</w:t>
            </w:r>
          </w:p>
        </w:tc>
      </w:tr>
      <w:tr>
        <w:tblPrEx>
          <w:tblCellMar>
            <w:top w:w="0" w:type="dxa"/>
            <w:left w:w="0" w:type="dxa"/>
            <w:bottom w:w="0" w:type="dxa"/>
            <w:right w:w="0" w:type="dxa"/>
          </w:tblCellMar>
        </w:tblPrEx>
        <w:trPr>
          <w:trHeight w:val="420" w:hRule="atLeast"/>
        </w:trPr>
        <w:tc>
          <w:tcPr>
            <w:tcW w:w="870" w:type="dxa"/>
            <w:tcBorders>
              <w:top w:val="nil"/>
              <w:left w:val="single" w:color="auto" w:sz="6" w:space="0"/>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5</w:t>
            </w:r>
          </w:p>
        </w:tc>
        <w:tc>
          <w:tcPr>
            <w:tcW w:w="4247" w:type="dxa"/>
            <w:tcBorders>
              <w:top w:val="nil"/>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10KV母线耐压试验</w:t>
            </w:r>
          </w:p>
        </w:tc>
        <w:tc>
          <w:tcPr>
            <w:tcW w:w="3321" w:type="dxa"/>
            <w:tcBorders>
              <w:top w:val="nil"/>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交流耐压测试</w:t>
            </w:r>
          </w:p>
        </w:tc>
      </w:tr>
      <w:tr>
        <w:tblPrEx>
          <w:tblCellMar>
            <w:top w:w="0" w:type="dxa"/>
            <w:left w:w="0" w:type="dxa"/>
            <w:bottom w:w="0" w:type="dxa"/>
            <w:right w:w="0" w:type="dxa"/>
          </w:tblCellMar>
        </w:tblPrEx>
        <w:trPr>
          <w:trHeight w:val="870" w:hRule="atLeast"/>
        </w:trPr>
        <w:tc>
          <w:tcPr>
            <w:tcW w:w="870" w:type="dxa"/>
            <w:tcBorders>
              <w:top w:val="nil"/>
              <w:left w:val="single" w:color="auto" w:sz="6" w:space="0"/>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6</w:t>
            </w:r>
          </w:p>
        </w:tc>
        <w:tc>
          <w:tcPr>
            <w:tcW w:w="4247" w:type="dxa"/>
            <w:tcBorders>
              <w:top w:val="nil"/>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10KV避雷器预防性试验</w:t>
            </w:r>
          </w:p>
        </w:tc>
        <w:tc>
          <w:tcPr>
            <w:tcW w:w="3321" w:type="dxa"/>
            <w:tcBorders>
              <w:top w:val="nil"/>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1、绝缘测试；</w:t>
            </w:r>
          </w:p>
          <w:p>
            <w:pPr>
              <w:ind w:firstLine="560"/>
              <w:rPr>
                <w:rFonts w:hint="eastAsia"/>
                <w:b w:val="0"/>
                <w:bCs w:val="0"/>
              </w:rPr>
            </w:pPr>
            <w:r>
              <w:rPr>
                <w:rFonts w:hint="eastAsia"/>
                <w:b w:val="0"/>
                <w:bCs w:val="0"/>
              </w:rPr>
              <w:t>2、泄露、持续电流测试。</w:t>
            </w:r>
          </w:p>
        </w:tc>
      </w:tr>
      <w:tr>
        <w:tblPrEx>
          <w:tblCellMar>
            <w:top w:w="0" w:type="dxa"/>
            <w:left w:w="0" w:type="dxa"/>
            <w:bottom w:w="0" w:type="dxa"/>
            <w:right w:w="0" w:type="dxa"/>
          </w:tblCellMar>
        </w:tblPrEx>
        <w:trPr>
          <w:trHeight w:val="585" w:hRule="atLeast"/>
        </w:trPr>
        <w:tc>
          <w:tcPr>
            <w:tcW w:w="870" w:type="dxa"/>
            <w:tcBorders>
              <w:top w:val="nil"/>
              <w:left w:val="single" w:color="auto" w:sz="6" w:space="0"/>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7</w:t>
            </w:r>
          </w:p>
        </w:tc>
        <w:tc>
          <w:tcPr>
            <w:tcW w:w="4247" w:type="dxa"/>
            <w:tcBorders>
              <w:top w:val="nil"/>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接地网试验</w:t>
            </w:r>
          </w:p>
        </w:tc>
        <w:tc>
          <w:tcPr>
            <w:tcW w:w="3321" w:type="dxa"/>
            <w:tcBorders>
              <w:top w:val="nil"/>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接地电阻测试</w:t>
            </w:r>
          </w:p>
        </w:tc>
      </w:tr>
    </w:tbl>
    <w:p>
      <w:pPr>
        <w:ind w:firstLine="560"/>
        <w:rPr>
          <w:rFonts w:hint="eastAsia"/>
          <w:b w:val="0"/>
          <w:bCs w:val="0"/>
        </w:rPr>
      </w:pPr>
      <w:r>
        <w:rPr>
          <w:rFonts w:ascii="Calibri" w:hAnsi="Calibri" w:cs="Calibri"/>
          <w:b w:val="0"/>
          <w:bCs w:val="0"/>
        </w:rPr>
        <w:t> </w:t>
      </w:r>
    </w:p>
    <w:tbl>
      <w:tblPr>
        <w:tblStyle w:val="16"/>
        <w:tblW w:w="8460" w:type="dxa"/>
        <w:tblInd w:w="0" w:type="dxa"/>
        <w:tblLayout w:type="autofit"/>
        <w:tblCellMar>
          <w:top w:w="0" w:type="dxa"/>
          <w:left w:w="0" w:type="dxa"/>
          <w:bottom w:w="0" w:type="dxa"/>
          <w:right w:w="0" w:type="dxa"/>
        </w:tblCellMar>
      </w:tblPr>
      <w:tblGrid>
        <w:gridCol w:w="5967"/>
        <w:gridCol w:w="1260"/>
        <w:gridCol w:w="1233"/>
      </w:tblGrid>
      <w:tr>
        <w:tblPrEx>
          <w:tblCellMar>
            <w:top w:w="0" w:type="dxa"/>
            <w:left w:w="0" w:type="dxa"/>
            <w:bottom w:w="0" w:type="dxa"/>
            <w:right w:w="0" w:type="dxa"/>
          </w:tblCellMar>
        </w:tblPrEx>
        <w:trPr>
          <w:trHeight w:val="1242" w:hRule="atLeast"/>
        </w:trPr>
        <w:tc>
          <w:tcPr>
            <w:tcW w:w="8460" w:type="dxa"/>
            <w:gridSpan w:val="3"/>
            <w:tcBorders>
              <w:top w:val="nil"/>
              <w:left w:val="nil"/>
              <w:bottom w:val="single" w:color="auto" w:sz="6" w:space="0"/>
              <w:right w:val="nil"/>
            </w:tcBorders>
            <w:tcMar>
              <w:left w:w="105" w:type="dxa"/>
              <w:right w:w="105" w:type="dxa"/>
            </w:tcMar>
            <w:vAlign w:val="bottom"/>
          </w:tcPr>
          <w:p>
            <w:pPr>
              <w:ind w:firstLine="560"/>
              <w:rPr>
                <w:rFonts w:hint="eastAsia"/>
                <w:b w:val="0"/>
                <w:bCs w:val="0"/>
              </w:rPr>
            </w:pPr>
            <w:r>
              <w:rPr>
                <w:rFonts w:hint="eastAsia"/>
                <w:b w:val="0"/>
                <w:bCs w:val="0"/>
              </w:rPr>
              <w:t>具体包括，但不限于</w:t>
            </w:r>
            <w:r>
              <w:rPr>
                <w:rFonts w:ascii="Calibri" w:hAnsi="Calibri" w:cs="Calibri"/>
                <w:b w:val="0"/>
                <w:bCs w:val="0"/>
              </w:rPr>
              <w:t>  </w:t>
            </w:r>
          </w:p>
          <w:p>
            <w:pPr>
              <w:ind w:firstLine="560"/>
              <w:rPr>
                <w:rFonts w:hint="eastAsia"/>
                <w:b w:val="0"/>
                <w:bCs w:val="0"/>
              </w:rPr>
            </w:pPr>
            <w:r>
              <w:rPr>
                <w:rFonts w:hint="eastAsia"/>
                <w:b w:val="0"/>
                <w:bCs w:val="0"/>
              </w:rPr>
              <w:t>南京市溧水区人民医院10kV配电房测试内容（综合病房楼配电房）</w:t>
            </w:r>
          </w:p>
        </w:tc>
      </w:tr>
      <w:tr>
        <w:tblPrEx>
          <w:tblCellMar>
            <w:top w:w="0" w:type="dxa"/>
            <w:left w:w="0" w:type="dxa"/>
            <w:bottom w:w="0" w:type="dxa"/>
            <w:right w:w="0" w:type="dxa"/>
          </w:tblCellMar>
        </w:tblPrEx>
        <w:trPr>
          <w:trHeight w:val="527" w:hRule="atLeast"/>
        </w:trPr>
        <w:tc>
          <w:tcPr>
            <w:tcW w:w="5967" w:type="dxa"/>
            <w:tcBorders>
              <w:top w:val="nil"/>
              <w:left w:val="single" w:color="auto" w:sz="6" w:space="0"/>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项目名称及规范</w:t>
            </w:r>
          </w:p>
        </w:tc>
        <w:tc>
          <w:tcPr>
            <w:tcW w:w="1260" w:type="dxa"/>
            <w:tcBorders>
              <w:top w:val="single" w:color="auto" w:sz="6" w:space="0"/>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位</w:t>
            </w:r>
          </w:p>
        </w:tc>
        <w:tc>
          <w:tcPr>
            <w:tcW w:w="1233" w:type="dxa"/>
            <w:tcBorders>
              <w:top w:val="single" w:color="auto" w:sz="6" w:space="0"/>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量</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三相电力变压器</w:t>
            </w:r>
            <w:r>
              <w:rPr>
                <w:rFonts w:ascii="Calibri" w:hAnsi="Calibri" w:cs="Calibri"/>
                <w:b w:val="0"/>
                <w:bCs w:val="0"/>
              </w:rPr>
              <w:t>   </w:t>
            </w:r>
            <w:r>
              <w:rPr>
                <w:rFonts w:hint="eastAsia"/>
                <w:b w:val="0"/>
                <w:bCs w:val="0"/>
              </w:rPr>
              <w:t>容量2000kVA以下</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台</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4</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 xml:space="preserve">10kV </w:t>
            </w:r>
            <w:r>
              <w:rPr>
                <w:rFonts w:ascii="Calibri" w:hAnsi="Calibri" w:cs="Calibri"/>
                <w:b w:val="0"/>
                <w:bCs w:val="0"/>
              </w:rPr>
              <w:t> </w:t>
            </w:r>
            <w:r>
              <w:rPr>
                <w:rFonts w:hint="eastAsia"/>
                <w:b w:val="0"/>
                <w:bCs w:val="0"/>
              </w:rPr>
              <w:t>PT柜</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台</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2</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 xml:space="preserve">断路器电压10kV以下 </w:t>
            </w:r>
            <w:r>
              <w:rPr>
                <w:rFonts w:ascii="Calibri" w:hAnsi="Calibri" w:cs="Calibri"/>
                <w:b w:val="0"/>
                <w:bCs w:val="0"/>
              </w:rPr>
              <w:t> </w:t>
            </w:r>
            <w:r>
              <w:rPr>
                <w:rFonts w:hint="eastAsia"/>
                <w:b w:val="0"/>
                <w:bCs w:val="0"/>
              </w:rPr>
              <w:t>进线柜</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台</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2</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 xml:space="preserve">断路器电压10kV以下 </w:t>
            </w:r>
            <w:r>
              <w:rPr>
                <w:rFonts w:ascii="Calibri" w:hAnsi="Calibri" w:cs="Calibri"/>
                <w:b w:val="0"/>
                <w:bCs w:val="0"/>
              </w:rPr>
              <w:t> </w:t>
            </w:r>
            <w:r>
              <w:rPr>
                <w:rFonts w:hint="eastAsia"/>
                <w:b w:val="0"/>
                <w:bCs w:val="0"/>
              </w:rPr>
              <w:t>出线柜</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台</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4</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 xml:space="preserve">断路器电压10kV以下 </w:t>
            </w:r>
            <w:r>
              <w:rPr>
                <w:rFonts w:ascii="Calibri" w:hAnsi="Calibri" w:cs="Calibri"/>
                <w:b w:val="0"/>
                <w:bCs w:val="0"/>
              </w:rPr>
              <w:t> </w:t>
            </w:r>
            <w:r>
              <w:rPr>
                <w:rFonts w:hint="eastAsia"/>
                <w:b w:val="0"/>
                <w:bCs w:val="0"/>
              </w:rPr>
              <w:t>母联柜</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台</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 xml:space="preserve">隔离开关电压10kV以下 </w:t>
            </w:r>
            <w:r>
              <w:rPr>
                <w:rFonts w:ascii="Calibri" w:hAnsi="Calibri" w:cs="Calibri"/>
                <w:b w:val="0"/>
                <w:bCs w:val="0"/>
              </w:rPr>
              <w:t> </w:t>
            </w:r>
            <w:r>
              <w:rPr>
                <w:rFonts w:hint="eastAsia"/>
                <w:b w:val="0"/>
                <w:bCs w:val="0"/>
              </w:rPr>
              <w:t>隔离柜</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台</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10kV 母线耐压</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段</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2</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10kV 避雷器</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组</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4</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接地网</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系统</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送配电保护装置3~10kV</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套</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3</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变压器保护装置3~10kV</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套</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4</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直流屏充电控制器维护</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只</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直流屏充电模块维护</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只</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w:t>
            </w:r>
          </w:p>
        </w:tc>
      </w:tr>
      <w:tr>
        <w:tblPrEx>
          <w:tblCellMar>
            <w:top w:w="0" w:type="dxa"/>
            <w:left w:w="0" w:type="dxa"/>
            <w:bottom w:w="0" w:type="dxa"/>
            <w:right w:w="0" w:type="dxa"/>
          </w:tblCellMar>
        </w:tblPrEx>
        <w:trPr>
          <w:trHeight w:val="465"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电缆试验</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根</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4</w:t>
            </w:r>
          </w:p>
        </w:tc>
      </w:tr>
      <w:tr>
        <w:tblPrEx>
          <w:tblCellMar>
            <w:top w:w="0" w:type="dxa"/>
            <w:left w:w="0" w:type="dxa"/>
            <w:bottom w:w="0" w:type="dxa"/>
            <w:right w:w="0" w:type="dxa"/>
          </w:tblCellMar>
        </w:tblPrEx>
        <w:trPr>
          <w:trHeight w:val="512"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强电间1KV测试、检查</w:t>
            </w:r>
          </w:p>
        </w:tc>
        <w:tc>
          <w:tcPr>
            <w:tcW w:w="1260"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间</w:t>
            </w:r>
          </w:p>
        </w:tc>
        <w:tc>
          <w:tcPr>
            <w:tcW w:w="1233"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60</w:t>
            </w:r>
          </w:p>
        </w:tc>
      </w:tr>
    </w:tbl>
    <w:p>
      <w:pPr>
        <w:ind w:firstLine="560"/>
        <w:rPr>
          <w:rFonts w:hint="eastAsia"/>
          <w:b w:val="0"/>
          <w:bCs w:val="0"/>
        </w:rPr>
      </w:pPr>
      <w:r>
        <w:rPr>
          <w:rFonts w:ascii="Calibri" w:hAnsi="Calibri" w:cs="Calibri"/>
          <w:b w:val="0"/>
          <w:bCs w:val="0"/>
        </w:rPr>
        <w:t> </w:t>
      </w:r>
    </w:p>
    <w:tbl>
      <w:tblPr>
        <w:tblStyle w:val="16"/>
        <w:tblW w:w="8480" w:type="dxa"/>
        <w:tblInd w:w="0" w:type="dxa"/>
        <w:tblLayout w:type="autofit"/>
        <w:tblCellMar>
          <w:top w:w="0" w:type="dxa"/>
          <w:left w:w="0" w:type="dxa"/>
          <w:bottom w:w="0" w:type="dxa"/>
          <w:right w:w="0" w:type="dxa"/>
        </w:tblCellMar>
      </w:tblPr>
      <w:tblGrid>
        <w:gridCol w:w="5967"/>
        <w:gridCol w:w="1292"/>
        <w:gridCol w:w="1221"/>
      </w:tblGrid>
      <w:tr>
        <w:tblPrEx>
          <w:tblCellMar>
            <w:top w:w="0" w:type="dxa"/>
            <w:left w:w="0" w:type="dxa"/>
            <w:bottom w:w="0" w:type="dxa"/>
            <w:right w:w="0" w:type="dxa"/>
          </w:tblCellMar>
        </w:tblPrEx>
        <w:trPr>
          <w:trHeight w:val="554" w:hRule="atLeast"/>
        </w:trPr>
        <w:tc>
          <w:tcPr>
            <w:tcW w:w="8480" w:type="dxa"/>
            <w:gridSpan w:val="3"/>
            <w:tcBorders>
              <w:top w:val="nil"/>
              <w:left w:val="nil"/>
              <w:bottom w:val="single" w:color="auto" w:sz="6" w:space="0"/>
              <w:right w:val="nil"/>
            </w:tcBorders>
            <w:tcMar>
              <w:left w:w="105" w:type="dxa"/>
              <w:right w:w="105" w:type="dxa"/>
            </w:tcMar>
            <w:vAlign w:val="bottom"/>
          </w:tcPr>
          <w:p>
            <w:pPr>
              <w:ind w:firstLine="560"/>
              <w:rPr>
                <w:rFonts w:hint="eastAsia"/>
                <w:b w:val="0"/>
                <w:bCs w:val="0"/>
              </w:rPr>
            </w:pPr>
            <w:r>
              <w:rPr>
                <w:rFonts w:hint="eastAsia"/>
                <w:b w:val="0"/>
                <w:bCs w:val="0"/>
              </w:rPr>
              <w:t>南京市溧水区人民医院10kV配电房测试内容（3号楼配电房）</w:t>
            </w:r>
          </w:p>
        </w:tc>
      </w:tr>
      <w:tr>
        <w:tblPrEx>
          <w:tblCellMar>
            <w:top w:w="0" w:type="dxa"/>
            <w:left w:w="0" w:type="dxa"/>
            <w:bottom w:w="0" w:type="dxa"/>
            <w:right w:w="0" w:type="dxa"/>
          </w:tblCellMar>
        </w:tblPrEx>
        <w:trPr>
          <w:trHeight w:val="471" w:hRule="atLeast"/>
        </w:trPr>
        <w:tc>
          <w:tcPr>
            <w:tcW w:w="5967" w:type="dxa"/>
            <w:tcBorders>
              <w:top w:val="nil"/>
              <w:left w:val="single" w:color="auto" w:sz="6" w:space="0"/>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项目名称及规范</w:t>
            </w:r>
          </w:p>
        </w:tc>
        <w:tc>
          <w:tcPr>
            <w:tcW w:w="1292" w:type="dxa"/>
            <w:tcBorders>
              <w:top w:val="single" w:color="auto" w:sz="6" w:space="0"/>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位</w:t>
            </w:r>
          </w:p>
        </w:tc>
        <w:tc>
          <w:tcPr>
            <w:tcW w:w="1221" w:type="dxa"/>
            <w:tcBorders>
              <w:top w:val="single" w:color="auto" w:sz="6" w:space="0"/>
              <w:left w:val="nil"/>
              <w:bottom w:val="single" w:color="auto" w:sz="6" w:space="0"/>
              <w:right w:val="single" w:color="auto" w:sz="6" w:space="0"/>
            </w:tcBorders>
            <w:tcMar>
              <w:left w:w="105" w:type="dxa"/>
              <w:right w:w="105" w:type="dxa"/>
            </w:tcMar>
            <w:vAlign w:val="center"/>
          </w:tcPr>
          <w:p>
            <w:pPr>
              <w:ind w:firstLine="560"/>
              <w:rPr>
                <w:rFonts w:hint="eastAsia"/>
                <w:b w:val="0"/>
                <w:bCs w:val="0"/>
              </w:rPr>
            </w:pPr>
            <w:r>
              <w:rPr>
                <w:rFonts w:hint="eastAsia"/>
                <w:b w:val="0"/>
                <w:bCs w:val="0"/>
              </w:rPr>
              <w:t>量</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三相电力变压器</w:t>
            </w:r>
            <w:r>
              <w:rPr>
                <w:rFonts w:ascii="Calibri" w:hAnsi="Calibri" w:cs="Calibri"/>
                <w:b w:val="0"/>
                <w:bCs w:val="0"/>
              </w:rPr>
              <w:t>   </w:t>
            </w:r>
            <w:r>
              <w:rPr>
                <w:rFonts w:hint="eastAsia"/>
                <w:b w:val="0"/>
                <w:bCs w:val="0"/>
              </w:rPr>
              <w:t>容量2000kVA以下</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台</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4</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 xml:space="preserve">10kV </w:t>
            </w:r>
            <w:r>
              <w:rPr>
                <w:rFonts w:ascii="Calibri" w:hAnsi="Calibri" w:cs="Calibri"/>
                <w:b w:val="0"/>
                <w:bCs w:val="0"/>
              </w:rPr>
              <w:t> </w:t>
            </w:r>
            <w:r>
              <w:rPr>
                <w:rFonts w:hint="eastAsia"/>
                <w:b w:val="0"/>
                <w:bCs w:val="0"/>
              </w:rPr>
              <w:t>PT柜</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台</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2</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 xml:space="preserve">断路器电压10kV以下 </w:t>
            </w:r>
            <w:r>
              <w:rPr>
                <w:rFonts w:ascii="Calibri" w:hAnsi="Calibri" w:cs="Calibri"/>
                <w:b w:val="0"/>
                <w:bCs w:val="0"/>
              </w:rPr>
              <w:t> </w:t>
            </w:r>
            <w:r>
              <w:rPr>
                <w:rFonts w:hint="eastAsia"/>
                <w:b w:val="0"/>
                <w:bCs w:val="0"/>
              </w:rPr>
              <w:t>进线柜</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台</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2</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 xml:space="preserve">断路器电压10kV以下 </w:t>
            </w:r>
            <w:r>
              <w:rPr>
                <w:rFonts w:ascii="Calibri" w:hAnsi="Calibri" w:cs="Calibri"/>
                <w:b w:val="0"/>
                <w:bCs w:val="0"/>
              </w:rPr>
              <w:t> </w:t>
            </w:r>
            <w:r>
              <w:rPr>
                <w:rFonts w:hint="eastAsia"/>
                <w:b w:val="0"/>
                <w:bCs w:val="0"/>
              </w:rPr>
              <w:t>出线柜</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台</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8</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 xml:space="preserve">断路器电压10kV以下 </w:t>
            </w:r>
            <w:r>
              <w:rPr>
                <w:rFonts w:ascii="Calibri" w:hAnsi="Calibri" w:cs="Calibri"/>
                <w:b w:val="0"/>
                <w:bCs w:val="0"/>
              </w:rPr>
              <w:t> </w:t>
            </w:r>
            <w:r>
              <w:rPr>
                <w:rFonts w:hint="eastAsia"/>
                <w:b w:val="0"/>
                <w:bCs w:val="0"/>
              </w:rPr>
              <w:t>母联柜</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台</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 xml:space="preserve">隔离开关电压10kV以下 </w:t>
            </w:r>
            <w:r>
              <w:rPr>
                <w:rFonts w:ascii="Calibri" w:hAnsi="Calibri" w:cs="Calibri"/>
                <w:b w:val="0"/>
                <w:bCs w:val="0"/>
              </w:rPr>
              <w:t> </w:t>
            </w:r>
            <w:r>
              <w:rPr>
                <w:rFonts w:hint="eastAsia"/>
                <w:b w:val="0"/>
                <w:bCs w:val="0"/>
              </w:rPr>
              <w:t>隔离柜</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台</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10kV 母线耐压</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段</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2</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10kV 避雷器</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组</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8</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接地网</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系统</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送配电保护装置3~10kV</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套</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4</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变压器保护装置3~10kV</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套</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4</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直流屏220V以下检查</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套</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1</w:t>
            </w:r>
          </w:p>
        </w:tc>
      </w:tr>
      <w:tr>
        <w:tblPrEx>
          <w:tblCellMar>
            <w:top w:w="0" w:type="dxa"/>
            <w:left w:w="0" w:type="dxa"/>
            <w:bottom w:w="0" w:type="dxa"/>
            <w:right w:w="0" w:type="dxa"/>
          </w:tblCellMar>
        </w:tblPrEx>
        <w:trPr>
          <w:trHeight w:val="430"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电缆试验</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根</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4</w:t>
            </w:r>
          </w:p>
        </w:tc>
      </w:tr>
      <w:tr>
        <w:tblPrEx>
          <w:tblCellMar>
            <w:top w:w="0" w:type="dxa"/>
            <w:left w:w="0" w:type="dxa"/>
            <w:bottom w:w="0" w:type="dxa"/>
            <w:right w:w="0" w:type="dxa"/>
          </w:tblCellMar>
        </w:tblPrEx>
        <w:trPr>
          <w:trHeight w:val="457" w:hRule="atLeast"/>
        </w:trPr>
        <w:tc>
          <w:tcPr>
            <w:tcW w:w="5967" w:type="dxa"/>
            <w:tcBorders>
              <w:top w:val="nil"/>
              <w:left w:val="single" w:color="000000" w:sz="6" w:space="0"/>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强电间1KV测试、检查</w:t>
            </w:r>
          </w:p>
        </w:tc>
        <w:tc>
          <w:tcPr>
            <w:tcW w:w="1292"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间</w:t>
            </w:r>
          </w:p>
        </w:tc>
        <w:tc>
          <w:tcPr>
            <w:tcW w:w="1221" w:type="dxa"/>
            <w:tcBorders>
              <w:top w:val="nil"/>
              <w:left w:val="nil"/>
              <w:bottom w:val="single" w:color="000000" w:sz="6" w:space="0"/>
              <w:right w:val="single" w:color="000000" w:sz="6" w:space="0"/>
            </w:tcBorders>
            <w:tcMar>
              <w:left w:w="105" w:type="dxa"/>
              <w:right w:w="105" w:type="dxa"/>
            </w:tcMar>
            <w:vAlign w:val="bottom"/>
          </w:tcPr>
          <w:p>
            <w:pPr>
              <w:ind w:firstLine="560"/>
              <w:rPr>
                <w:rFonts w:hint="eastAsia"/>
                <w:b w:val="0"/>
                <w:bCs w:val="0"/>
              </w:rPr>
            </w:pPr>
            <w:r>
              <w:rPr>
                <w:rFonts w:hint="eastAsia"/>
                <w:b w:val="0"/>
                <w:bCs w:val="0"/>
              </w:rPr>
              <w:t>40</w:t>
            </w:r>
          </w:p>
        </w:tc>
      </w:tr>
    </w:tbl>
    <w:p>
      <w:pPr>
        <w:ind w:firstLine="560"/>
        <w:rPr>
          <w:rFonts w:hint="eastAsia"/>
          <w:b w:val="0"/>
          <w:bCs w:val="0"/>
        </w:rPr>
      </w:pPr>
      <w:r>
        <w:rPr>
          <w:rFonts w:ascii="Calibri" w:hAnsi="Calibri" w:cs="Calibri"/>
          <w:b w:val="0"/>
          <w:bCs w:val="0"/>
        </w:rPr>
        <w:t> </w:t>
      </w:r>
    </w:p>
    <w:p>
      <w:pPr>
        <w:ind w:firstLine="560"/>
        <w:rPr>
          <w:rFonts w:hint="eastAsia"/>
          <w:b w:val="0"/>
          <w:bCs w:val="0"/>
        </w:rPr>
      </w:pPr>
      <w:r>
        <w:rPr>
          <w:rFonts w:hint="eastAsia"/>
          <w:b w:val="0"/>
          <w:bCs w:val="0"/>
        </w:rPr>
        <w:t>服务期限：二年</w:t>
      </w:r>
    </w:p>
    <w:p>
      <w:pPr>
        <w:ind w:firstLine="560"/>
        <w:rPr>
          <w:rFonts w:hint="eastAsia"/>
          <w:b w:val="0"/>
          <w:bCs w:val="0"/>
        </w:rPr>
      </w:pPr>
      <w:r>
        <w:rPr>
          <w:rFonts w:hint="eastAsia"/>
          <w:b w:val="0"/>
          <w:bCs w:val="0"/>
        </w:rPr>
        <w:t>时间要求：甲方现场具备测试条件之日起7个工作日内完成测试，并在完成测试7日内出具检测报告。</w:t>
      </w:r>
    </w:p>
    <w:p>
      <w:pPr>
        <w:ind w:firstLine="560"/>
        <w:rPr>
          <w:rFonts w:hint="eastAsia"/>
          <w:b w:val="0"/>
          <w:bCs w:val="0"/>
        </w:rPr>
      </w:pPr>
      <w:r>
        <w:rPr>
          <w:rFonts w:hint="eastAsia"/>
          <w:b w:val="0"/>
          <w:bCs w:val="0"/>
        </w:rPr>
        <w:t>工程质量、安全要求</w:t>
      </w:r>
    </w:p>
    <w:p>
      <w:pPr>
        <w:ind w:firstLine="560"/>
        <w:rPr>
          <w:rFonts w:hint="eastAsia"/>
          <w:b w:val="0"/>
          <w:bCs w:val="0"/>
        </w:rPr>
      </w:pPr>
      <w:r>
        <w:rPr>
          <w:rFonts w:hint="eastAsia"/>
          <w:b w:val="0"/>
          <w:bCs w:val="0"/>
        </w:rPr>
        <w:t>1、本项目要求严格按照《电力设备预防性试验规程》DL/T596—1996、《电业安全规程》的等相关规定对招标范围内的配电房电气设备进行试验，各类电气设备预防性试验的具体内容按照《电力设备预防性试验规程》执行，如有偏差应以《电力设备预防性试验规程》的相关条款为准。若与现行国家标准和规范不一致，按现行国家最新标准和规范执行。</w:t>
      </w:r>
    </w:p>
    <w:p>
      <w:pPr>
        <w:ind w:firstLine="560"/>
        <w:rPr>
          <w:rFonts w:hint="eastAsia"/>
          <w:b w:val="0"/>
          <w:bCs w:val="0"/>
        </w:rPr>
      </w:pPr>
      <w:r>
        <w:rPr>
          <w:rFonts w:hint="eastAsia"/>
          <w:b w:val="0"/>
          <w:bCs w:val="0"/>
        </w:rPr>
        <w:t>2、试验做到数据准确、不超期、不漏项目。试验工作结束后，试验负责人应认真核对试验项目，做好记录。当实验结果无误后，才能拆除试验接线，恢复设备原有接线。</w:t>
      </w:r>
    </w:p>
    <w:p>
      <w:pPr>
        <w:ind w:firstLine="560"/>
        <w:rPr>
          <w:rFonts w:hint="eastAsia"/>
          <w:b w:val="0"/>
          <w:bCs w:val="0"/>
        </w:rPr>
      </w:pPr>
      <w:r>
        <w:rPr>
          <w:rFonts w:hint="eastAsia"/>
          <w:b w:val="0"/>
          <w:bCs w:val="0"/>
        </w:rPr>
        <w:t>3、试验合格后，必须出具完整正规的试验报告</w:t>
      </w:r>
    </w:p>
    <w:p>
      <w:pPr>
        <w:ind w:firstLine="560"/>
        <w:rPr>
          <w:rFonts w:hint="eastAsia"/>
          <w:b w:val="0"/>
          <w:bCs w:val="0"/>
        </w:rPr>
      </w:pPr>
    </w:p>
    <w:p>
      <w:pPr>
        <w:ind w:firstLine="560"/>
        <w:rPr>
          <w:rFonts w:hint="eastAsia"/>
          <w:b w:val="0"/>
          <w:bCs w:val="0"/>
        </w:rPr>
      </w:pPr>
    </w:p>
    <w:p>
      <w:pPr>
        <w:ind w:firstLine="560"/>
        <w:rPr>
          <w:rFonts w:hint="eastAsia"/>
          <w:b w:val="0"/>
          <w:bCs w:val="0"/>
        </w:rPr>
      </w:pPr>
    </w:p>
    <w:p>
      <w:pPr>
        <w:ind w:firstLine="560"/>
        <w:rPr>
          <w:rFonts w:hint="eastAsia"/>
          <w:b w:val="0"/>
          <w:bCs w:val="0"/>
        </w:rPr>
      </w:pPr>
    </w:p>
    <w:p>
      <w:pPr>
        <w:ind w:firstLine="560"/>
        <w:rPr>
          <w:rFonts w:hint="eastAsia"/>
          <w:b w:val="0"/>
          <w:bCs w:val="0"/>
        </w:rPr>
      </w:pPr>
    </w:p>
    <w:p>
      <w:pPr>
        <w:ind w:firstLine="560"/>
        <w:rPr>
          <w:rFonts w:hint="eastAsia"/>
          <w:b w:val="0"/>
          <w:bCs w:val="0"/>
        </w:rPr>
      </w:pPr>
    </w:p>
    <w:p>
      <w:pPr>
        <w:pStyle w:val="4"/>
        <w:numPr>
          <w:ilvl w:val="0"/>
          <w:numId w:val="3"/>
        </w:numPr>
      </w:pPr>
      <w:r>
        <w:rPr>
          <w:rFonts w:hint="eastAsia"/>
        </w:rPr>
        <w:t>投标人资格要求</w:t>
      </w:r>
      <w:bookmarkEnd w:id="7"/>
      <w:bookmarkEnd w:id="8"/>
      <w:bookmarkEnd w:id="9"/>
      <w:bookmarkEnd w:id="10"/>
    </w:p>
    <w:bookmarkEnd w:id="2"/>
    <w:p>
      <w:pPr>
        <w:ind w:firstLine="560"/>
        <w:rPr>
          <w:b w:val="0"/>
          <w:bCs w:val="0"/>
        </w:rPr>
      </w:pPr>
      <w:bookmarkStart w:id="11" w:name="_Toc28359015"/>
      <w:bookmarkStart w:id="12" w:name="_Toc35393801"/>
      <w:bookmarkStart w:id="13" w:name="_Toc35393632"/>
      <w:bookmarkStart w:id="14" w:name="_Toc28359092"/>
      <w:r>
        <w:rPr>
          <w:rFonts w:hint="eastAsia"/>
          <w:b w:val="0"/>
          <w:bCs w:val="0"/>
        </w:rPr>
        <w:t>（1）具有独立承担民事责任的能力（提供法人或者其他组织的营业执照、经营许可证等证明文件和自然人的身份证明）。营业执照经营范围包含本项目采购范围相关内容，且能在国内合法销售并提供相应货物及服务的生产厂家或代理商。</w:t>
      </w:r>
    </w:p>
    <w:p>
      <w:pPr>
        <w:ind w:firstLine="560"/>
        <w:rPr>
          <w:b w:val="0"/>
          <w:bCs w:val="0"/>
        </w:rPr>
      </w:pPr>
      <w:r>
        <w:rPr>
          <w:rFonts w:hint="eastAsia"/>
          <w:b w:val="0"/>
          <w:bCs w:val="0"/>
        </w:rPr>
        <w:t>（2）具有良好的商业信誉和健全的财务会计制度（提供参加本次政府采购活动前一年内（至少一个月）的会计报表）；</w:t>
      </w:r>
    </w:p>
    <w:p>
      <w:pPr>
        <w:ind w:firstLine="560"/>
        <w:rPr>
          <w:b w:val="0"/>
          <w:bCs w:val="0"/>
        </w:rPr>
      </w:pPr>
      <w:r>
        <w:rPr>
          <w:rFonts w:hint="eastAsia"/>
          <w:b w:val="0"/>
          <w:bCs w:val="0"/>
        </w:rPr>
        <w:t>（3）具有履行合同所必需的设备和专业技术能力（根据项目需求提供相应的专业设备说明、技术管理人员情况申明、专业技术资质等）；</w:t>
      </w:r>
    </w:p>
    <w:p>
      <w:pPr>
        <w:ind w:firstLine="560"/>
        <w:rPr>
          <w:b w:val="0"/>
          <w:bCs w:val="0"/>
        </w:rPr>
      </w:pPr>
      <w:r>
        <w:rPr>
          <w:rFonts w:hint="eastAsia"/>
          <w:b w:val="0"/>
          <w:bCs w:val="0"/>
        </w:rPr>
        <w:t>（4）有依法缴纳税收和社会保障资金的良好记录（提供参加政府采购活动前一年内至少一个月依法缴纳税收和社会保障资金的相关材料）；</w:t>
      </w:r>
    </w:p>
    <w:p>
      <w:pPr>
        <w:ind w:firstLine="560"/>
        <w:rPr>
          <w:b w:val="0"/>
          <w:bCs w:val="0"/>
        </w:rPr>
      </w:pPr>
      <w:r>
        <w:rPr>
          <w:rFonts w:hint="eastAsia"/>
          <w:b w:val="0"/>
          <w:bCs w:val="0"/>
        </w:rPr>
        <w:t>（5）参加政府采购活动前三年内，在经营活动中没有重大违法记录（提供参加政府采购活动前三年内在经营活动中没有重大违法记录的书面声明）；</w:t>
      </w:r>
    </w:p>
    <w:p>
      <w:pPr>
        <w:ind w:firstLine="560"/>
        <w:rPr>
          <w:b w:val="0"/>
          <w:bCs w:val="0"/>
        </w:rPr>
      </w:pPr>
      <w:r>
        <w:rPr>
          <w:rFonts w:hint="eastAsia"/>
          <w:b w:val="0"/>
          <w:bCs w:val="0"/>
        </w:rPr>
        <w:t>（6）法律、行政法规规定的其他条件。（提供项目实施所必须的许可资质证明材料）；</w:t>
      </w:r>
    </w:p>
    <w:p>
      <w:pPr>
        <w:ind w:firstLine="420"/>
        <w:rPr>
          <w:rFonts w:ascii="宋体" w:hAnsi="宋体" w:cs="宋体"/>
          <w:b w:val="0"/>
          <w:bCs w:val="0"/>
          <w:szCs w:val="21"/>
        </w:rPr>
      </w:pPr>
      <w:r>
        <w:rPr>
          <w:rFonts w:hint="eastAsia"/>
          <w:b w:val="0"/>
          <w:bCs w:val="0"/>
          <w:sz w:val="21"/>
          <w:szCs w:val="21"/>
        </w:rPr>
        <w:t>（7）</w:t>
      </w:r>
      <w:r>
        <w:rPr>
          <w:rFonts w:hint="eastAsia"/>
          <w:b w:val="0"/>
          <w:bCs w:val="0"/>
          <w:szCs w:val="21"/>
        </w:rPr>
        <w:t>包一</w:t>
      </w:r>
      <w:r>
        <w:rPr>
          <w:rFonts w:hint="eastAsia"/>
          <w:b w:val="0"/>
          <w:bCs w:val="0"/>
        </w:rPr>
        <w:t>与此项目相关的特定资质要求：专业承包消防设施工程二级(含)以上。</w:t>
      </w:r>
    </w:p>
    <w:p>
      <w:pPr>
        <w:ind w:firstLine="560"/>
        <w:rPr>
          <w:rFonts w:hint="eastAsia"/>
          <w:b w:val="0"/>
          <w:bCs w:val="0"/>
        </w:rPr>
      </w:pPr>
      <w:r>
        <w:rPr>
          <w:rFonts w:hint="eastAsia"/>
          <w:b w:val="0"/>
          <w:bCs w:val="0"/>
        </w:rPr>
        <w:t>包二供应商须具有具有有效的电力施工施工总承包三级或以上的资质证书、相应有效的安全生产许可证、二级或以上机电工程专业的注册建造师执业资格（不含临时建造师）；投标人需近年（2022年1月1日至今）具有10KV配电房预防性测试项目相关业绩2个以上（含2个，需提供商务合同复印件或项目验收合格证明扫描件）。</w:t>
      </w:r>
    </w:p>
    <w:p>
      <w:pPr>
        <w:ind w:firstLine="560"/>
        <w:rPr>
          <w:rFonts w:hint="eastAsia"/>
          <w:b w:val="0"/>
          <w:bCs w:val="0"/>
        </w:rPr>
      </w:pPr>
    </w:p>
    <w:p>
      <w:pPr>
        <w:ind w:firstLine="560"/>
        <w:rPr>
          <w:b w:val="0"/>
          <w:bCs w:val="0"/>
        </w:rPr>
      </w:pPr>
    </w:p>
    <w:p>
      <w:pPr>
        <w:ind w:firstLine="560"/>
        <w:rPr>
          <w:b w:val="0"/>
          <w:bCs w:val="0"/>
        </w:rPr>
      </w:pPr>
      <w:r>
        <w:rPr>
          <w:rFonts w:hint="eastAsia"/>
          <w:b w:val="0"/>
          <w:bCs w:val="0"/>
        </w:rPr>
        <w:t>四、报名</w:t>
      </w:r>
    </w:p>
    <w:p>
      <w:pPr>
        <w:ind w:firstLine="560"/>
        <w:rPr>
          <w:b w:val="0"/>
          <w:bCs w:val="0"/>
        </w:rPr>
      </w:pPr>
      <w:r>
        <w:rPr>
          <w:rFonts w:hint="eastAsia"/>
          <w:b w:val="0"/>
          <w:bCs w:val="0"/>
        </w:rPr>
        <w:t>请在2024年4月1日17:00前，将符合采购文件要求的资格证明文件以Word或PDF电子文档形式发送至168673332@qq.com完成报名，邮件名称及报名文件均命名为“项目名称+供应商名称+联系电话”。</w:t>
      </w:r>
    </w:p>
    <w:p>
      <w:pPr>
        <w:pStyle w:val="4"/>
        <w:numPr>
          <w:ilvl w:val="0"/>
          <w:numId w:val="5"/>
        </w:numPr>
      </w:pPr>
      <w:r>
        <w:rPr>
          <w:rFonts w:hint="eastAsia"/>
        </w:rPr>
        <w:t>响应文件提交</w:t>
      </w:r>
      <w:bookmarkEnd w:id="11"/>
      <w:bookmarkEnd w:id="12"/>
      <w:bookmarkEnd w:id="13"/>
      <w:bookmarkEnd w:id="14"/>
    </w:p>
    <w:p>
      <w:pPr>
        <w:ind w:firstLine="560"/>
        <w:rPr>
          <w:b w:val="0"/>
          <w:bCs w:val="0"/>
          <w:color w:val="0000FF"/>
        </w:rPr>
      </w:pPr>
      <w:r>
        <w:rPr>
          <w:rFonts w:hint="eastAsia"/>
          <w:b w:val="0"/>
          <w:bCs w:val="0"/>
        </w:rPr>
        <w:t>响应文件接收截止时间：</w:t>
      </w:r>
      <w:r>
        <w:rPr>
          <w:rFonts w:hint="eastAsia"/>
          <w:b w:val="0"/>
          <w:bCs w:val="0"/>
          <w:u w:val="none"/>
        </w:rPr>
        <w:t>2024年4月2日14点25分</w:t>
      </w:r>
      <w:r>
        <w:rPr>
          <w:rFonts w:hint="eastAsia"/>
          <w:b w:val="0"/>
          <w:bCs w:val="0"/>
        </w:rPr>
        <w:t>（北京时间）</w:t>
      </w:r>
    </w:p>
    <w:p>
      <w:pPr>
        <w:ind w:firstLine="560"/>
        <w:rPr>
          <w:b w:val="0"/>
          <w:bCs w:val="0"/>
        </w:rPr>
      </w:pPr>
      <w:r>
        <w:rPr>
          <w:rFonts w:hint="eastAsia"/>
          <w:b w:val="0"/>
          <w:bCs w:val="0"/>
        </w:rPr>
        <w:t>响应文件包含但不限于下列内容：1.报价一览表（详见附件1）；2.符合资格要求的相关材料；3.法人授权委托书、法定代表人身份证明书及被授权人身份证明书；4.</w:t>
      </w:r>
      <w:r>
        <w:rPr>
          <w:rFonts w:hint="eastAsia"/>
          <w:b w:val="0"/>
          <w:bCs w:val="0"/>
          <w:lang w:val="zh-CN"/>
        </w:rPr>
        <w:t>采购内容及要求条款偏离表</w:t>
      </w:r>
      <w:r>
        <w:rPr>
          <w:rFonts w:hint="eastAsia"/>
          <w:b w:val="0"/>
          <w:bCs w:val="0"/>
        </w:rPr>
        <w:t>（详见附件1）</w:t>
      </w:r>
      <w:r>
        <w:rPr>
          <w:rFonts w:hint="eastAsia"/>
          <w:b w:val="0"/>
          <w:bCs w:val="0"/>
          <w:lang w:val="zh-CN"/>
        </w:rPr>
        <w:t>；</w:t>
      </w:r>
      <w:r>
        <w:rPr>
          <w:rFonts w:hint="eastAsia"/>
          <w:b w:val="0"/>
          <w:bCs w:val="0"/>
        </w:rPr>
        <w:t>5.项目技术及其他服务承诺。6.</w:t>
      </w:r>
      <w:r>
        <w:rPr>
          <w:rFonts w:hint="eastAsia"/>
          <w:b w:val="0"/>
          <w:bCs w:val="0"/>
          <w:lang w:val="zh-CN"/>
        </w:rPr>
        <w:t>供应商具有相关类似项目业绩情况表及证明材料等。</w:t>
      </w:r>
      <w:r>
        <w:rPr>
          <w:rFonts w:hint="eastAsia"/>
          <w:b w:val="0"/>
          <w:bCs w:val="0"/>
        </w:rPr>
        <w:t>上述材料均需加盖公章。（响应文件一式四份，一正三副，目录及页码清晰，密封，封面信息至少包含项目名称、供应商名称及联系电话。每份投标文件须清楚标明“正本”或“副本”字样。一旦正本和副本不符，以正本为准。）</w:t>
      </w:r>
    </w:p>
    <w:p>
      <w:pPr>
        <w:pStyle w:val="4"/>
        <w:numPr>
          <w:ilvl w:val="0"/>
          <w:numId w:val="0"/>
        </w:numPr>
      </w:pPr>
      <w:r>
        <w:rPr>
          <w:rFonts w:hint="eastAsia"/>
          <w:highlight w:val="lightGray"/>
          <w:u w:val="none"/>
        </w:rPr>
        <w:t>六、</w:t>
      </w:r>
      <w:r>
        <w:rPr>
          <w:rFonts w:hint="eastAsia" w:ascii="黑体" w:hAnsi="黑体" w:eastAsia="黑体" w:cs="宋体"/>
          <w:lang w:val="zh-CN"/>
        </w:rPr>
        <w:t>出现下列情形之一的响应文件按照无效处理：</w:t>
      </w:r>
      <w:r>
        <w:rPr>
          <w:rFonts w:hint="eastAsia"/>
        </w:rPr>
        <w:t>（1）不具备询价文件中规定资格条件的；（2）未实质性响应询价文件要求的；（3）不符合法律、法规和采购文件规定的其他实质性要求的；（4）投标资料未密封。</w:t>
      </w:r>
    </w:p>
    <w:p>
      <w:pPr>
        <w:ind w:firstLine="560"/>
        <w:rPr>
          <w:b w:val="0"/>
          <w:bCs w:val="0"/>
          <w:lang w:val="zh-CN"/>
        </w:rPr>
      </w:pPr>
      <w:r>
        <w:rPr>
          <w:rFonts w:hint="eastAsia" w:ascii="黑体" w:hAnsi="黑体" w:eastAsia="黑体" w:cs="宋体"/>
          <w:b w:val="0"/>
          <w:bCs w:val="0"/>
        </w:rPr>
        <w:t>出现下列情形之一的，询价终止：</w:t>
      </w:r>
      <w:r>
        <w:rPr>
          <w:rFonts w:hint="eastAsia"/>
          <w:b w:val="0"/>
          <w:bCs w:val="0"/>
          <w:lang w:val="zh-CN"/>
        </w:rPr>
        <w:t>（1）所有供应商的响应文件被询价小组认定为无效的；（</w:t>
      </w:r>
      <w:r>
        <w:rPr>
          <w:rFonts w:hint="eastAsia"/>
          <w:b w:val="0"/>
          <w:bCs w:val="0"/>
        </w:rPr>
        <w:t>2</w:t>
      </w:r>
      <w:r>
        <w:rPr>
          <w:rFonts w:hint="eastAsia"/>
          <w:b w:val="0"/>
          <w:bCs w:val="0"/>
          <w:lang w:val="zh-CN"/>
        </w:rPr>
        <w:t>）出现影响采购公正的违法、违规行为的；（</w:t>
      </w:r>
      <w:r>
        <w:rPr>
          <w:rFonts w:hint="eastAsia"/>
          <w:b w:val="0"/>
          <w:bCs w:val="0"/>
        </w:rPr>
        <w:t>3</w:t>
      </w:r>
      <w:r>
        <w:rPr>
          <w:rFonts w:hint="eastAsia"/>
          <w:b w:val="0"/>
          <w:bCs w:val="0"/>
          <w:lang w:val="zh-CN"/>
        </w:rPr>
        <w:t>）供应商的最终报价超过采购预算的；（</w:t>
      </w:r>
      <w:r>
        <w:rPr>
          <w:rFonts w:hint="eastAsia"/>
          <w:b w:val="0"/>
          <w:bCs w:val="0"/>
        </w:rPr>
        <w:t>4</w:t>
      </w:r>
      <w:r>
        <w:rPr>
          <w:rFonts w:hint="eastAsia"/>
          <w:b w:val="0"/>
          <w:bCs w:val="0"/>
          <w:lang w:val="zh-CN"/>
        </w:rPr>
        <w:t>）因重大变故，采购任务取消的。</w:t>
      </w:r>
    </w:p>
    <w:p>
      <w:pPr>
        <w:pStyle w:val="4"/>
        <w:numPr>
          <w:ilvl w:val="0"/>
          <w:numId w:val="0"/>
        </w:numPr>
      </w:pPr>
      <w:r>
        <w:rPr>
          <w:rFonts w:hint="eastAsia"/>
          <w:highlight w:val="lightGray"/>
          <w:u w:val="none"/>
        </w:rPr>
        <w:t>七、</w:t>
      </w:r>
      <w:r>
        <w:rPr>
          <w:rFonts w:hint="eastAsia"/>
        </w:rPr>
        <w:t>开（评）标时间及地点</w:t>
      </w:r>
    </w:p>
    <w:p>
      <w:pPr>
        <w:pStyle w:val="14"/>
        <w:ind w:left="0" w:firstLine="560"/>
        <w:rPr>
          <w:b w:val="0"/>
          <w:bCs w:val="0"/>
        </w:rPr>
      </w:pPr>
      <w:r>
        <w:rPr>
          <w:rFonts w:hint="eastAsia"/>
          <w:b w:val="0"/>
          <w:bCs w:val="0"/>
        </w:rPr>
        <w:t>开标时间：2024年4月2日14点30分（北京时间）</w:t>
      </w:r>
    </w:p>
    <w:p>
      <w:pPr>
        <w:ind w:firstLine="560"/>
        <w:rPr>
          <w:b w:val="0"/>
          <w:bCs w:val="0"/>
          <w:w w:val="90"/>
        </w:rPr>
      </w:pPr>
      <w:r>
        <w:rPr>
          <w:rFonts w:hint="eastAsia"/>
          <w:b w:val="0"/>
          <w:bCs w:val="0"/>
        </w:rPr>
        <w:t>开标地点：溧水区人民医院行政楼5楼会议室。</w:t>
      </w:r>
    </w:p>
    <w:p>
      <w:pPr>
        <w:pStyle w:val="4"/>
        <w:numPr>
          <w:ilvl w:val="0"/>
          <w:numId w:val="0"/>
        </w:numPr>
      </w:pPr>
      <w:bookmarkStart w:id="15" w:name="_Toc35393634"/>
      <w:bookmarkStart w:id="16" w:name="_Toc28359094"/>
      <w:bookmarkStart w:id="17" w:name="_Toc28359017"/>
      <w:bookmarkStart w:id="18" w:name="_Toc35393803"/>
      <w:r>
        <w:rPr>
          <w:rFonts w:hint="eastAsia"/>
          <w:highlight w:val="lightGray"/>
          <w:u w:val="none"/>
        </w:rPr>
        <w:t>八、</w:t>
      </w:r>
      <w:r>
        <w:rPr>
          <w:rFonts w:hint="eastAsia"/>
        </w:rPr>
        <w:t>成交</w:t>
      </w:r>
    </w:p>
    <w:p>
      <w:pPr>
        <w:ind w:firstLine="560"/>
        <w:rPr>
          <w:rFonts w:eastAsia="楷体_GB2312"/>
          <w:b w:val="0"/>
          <w:bCs w:val="0"/>
        </w:rPr>
      </w:pPr>
      <w:r>
        <w:rPr>
          <w:rFonts w:hint="eastAsia"/>
          <w:b w:val="0"/>
          <w:bCs w:val="0"/>
        </w:rPr>
        <w:t>符合采购人对本项目资格要求，并满足采购人对本项目的采购内容及要求的基础上，投标报价最低的供应商为中标候选人。不再进行二次报价。</w:t>
      </w:r>
    </w:p>
    <w:p>
      <w:pPr>
        <w:pStyle w:val="4"/>
        <w:numPr>
          <w:ilvl w:val="0"/>
          <w:numId w:val="0"/>
        </w:numPr>
      </w:pPr>
      <w:r>
        <w:rPr>
          <w:rFonts w:hint="eastAsia"/>
          <w:highlight w:val="lightGray"/>
          <w:u w:val="none"/>
        </w:rPr>
        <w:t>九</w:t>
      </w:r>
      <w:r>
        <w:rPr>
          <w:rFonts w:hint="eastAsia"/>
        </w:rPr>
        <w:t>、公告期限</w:t>
      </w:r>
      <w:bookmarkEnd w:id="15"/>
      <w:bookmarkEnd w:id="16"/>
      <w:bookmarkEnd w:id="17"/>
      <w:bookmarkEnd w:id="18"/>
    </w:p>
    <w:p>
      <w:pPr>
        <w:ind w:firstLine="560"/>
        <w:rPr>
          <w:b w:val="0"/>
          <w:bCs w:val="0"/>
        </w:rPr>
      </w:pPr>
      <w:r>
        <w:rPr>
          <w:rFonts w:hint="eastAsia"/>
          <w:b w:val="0"/>
          <w:bCs w:val="0"/>
        </w:rPr>
        <w:t>自本公告发布之日起3个工作日。</w:t>
      </w:r>
    </w:p>
    <w:p>
      <w:pPr>
        <w:pStyle w:val="4"/>
        <w:numPr>
          <w:ilvl w:val="0"/>
          <w:numId w:val="0"/>
        </w:numPr>
      </w:pPr>
      <w:bookmarkStart w:id="19" w:name="_Toc28359095"/>
      <w:bookmarkStart w:id="20" w:name="_Toc35393805"/>
      <w:bookmarkStart w:id="21" w:name="_Toc28359018"/>
      <w:bookmarkStart w:id="22" w:name="_Toc35393636"/>
      <w:r>
        <w:rPr>
          <w:rFonts w:hint="eastAsia"/>
          <w:highlight w:val="lightGray"/>
          <w:u w:val="none"/>
        </w:rPr>
        <w:t>十、</w:t>
      </w:r>
      <w:r>
        <w:rPr>
          <w:rFonts w:hint="eastAsia"/>
        </w:rPr>
        <w:t>凡对本次采购提出询问，请按以下方式联系。</w:t>
      </w:r>
      <w:bookmarkEnd w:id="19"/>
      <w:bookmarkEnd w:id="20"/>
      <w:bookmarkEnd w:id="21"/>
      <w:bookmarkEnd w:id="22"/>
    </w:p>
    <w:p>
      <w:pPr>
        <w:ind w:firstLine="560"/>
        <w:rPr>
          <w:b w:val="0"/>
          <w:bCs w:val="0"/>
        </w:rPr>
      </w:pPr>
      <w:r>
        <w:rPr>
          <w:rFonts w:hint="eastAsia"/>
          <w:b w:val="0"/>
          <w:bCs w:val="0"/>
        </w:rPr>
        <w:t>名    称：</w:t>
      </w:r>
      <w:r>
        <w:rPr>
          <w:rFonts w:hint="eastAsia"/>
          <w:b w:val="0"/>
          <w:bCs w:val="0"/>
          <w:w w:val="80"/>
        </w:rPr>
        <w:t>溧水人民医院物资采购管理中心、安保科、基建办（技术问题咨询）</w:t>
      </w:r>
    </w:p>
    <w:p>
      <w:pPr>
        <w:ind w:firstLine="560"/>
        <w:rPr>
          <w:b w:val="0"/>
          <w:bCs w:val="0"/>
        </w:rPr>
      </w:pPr>
      <w:r>
        <w:rPr>
          <w:rFonts w:hint="eastAsia"/>
          <w:b w:val="0"/>
          <w:bCs w:val="0"/>
        </w:rPr>
        <w:t xml:space="preserve">地    址：　南京市溧水区崇文路86号　　　　　　　　　     </w:t>
      </w:r>
    </w:p>
    <w:p>
      <w:pPr>
        <w:ind w:firstLine="560"/>
        <w:rPr>
          <w:b w:val="0"/>
          <w:bCs w:val="0"/>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r>
        <w:rPr>
          <w:rFonts w:hint="eastAsia"/>
          <w:b w:val="0"/>
          <w:bCs w:val="0"/>
        </w:rPr>
        <w:t xml:space="preserve">联系方式：　025-56232160王主任15951687657施主任 025-56232026李主任           </w:t>
      </w:r>
    </w:p>
    <w:p>
      <w:pPr>
        <w:pStyle w:val="20"/>
        <w:spacing w:line="560" w:lineRule="exact"/>
        <w:rPr>
          <w:rFonts w:ascii="黑体" w:hAnsi="黑体" w:eastAsia="黑体" w:cs="宋体"/>
          <w:sz w:val="28"/>
          <w:szCs w:val="28"/>
        </w:rPr>
      </w:pPr>
      <w:r>
        <w:rPr>
          <w:rFonts w:hint="eastAsia" w:ascii="黑体" w:hAnsi="黑体" w:eastAsia="黑体" w:cs="宋体"/>
          <w:sz w:val="28"/>
          <w:szCs w:val="28"/>
        </w:rPr>
        <w:t>附件1: 报价一览表</w:t>
      </w:r>
    </w:p>
    <w:p>
      <w:pPr>
        <w:pStyle w:val="7"/>
        <w:ind w:firstLine="560"/>
        <w:rPr>
          <w:b w:val="0"/>
          <w:bCs w:val="0"/>
        </w:rPr>
      </w:pPr>
      <w:r>
        <w:rPr>
          <w:rFonts w:hint="eastAsia"/>
          <w:b w:val="0"/>
          <w:bCs w:val="0"/>
        </w:rPr>
        <w:t>包一报价（本次评审将采用经评审的最低投标价法确定中标单位。）</w:t>
      </w:r>
    </w:p>
    <w:tbl>
      <w:tblPr>
        <w:tblStyle w:val="16"/>
        <w:tblW w:w="10456" w:type="dxa"/>
        <w:tblInd w:w="0" w:type="dxa"/>
        <w:tblLayout w:type="fixed"/>
        <w:tblCellMar>
          <w:top w:w="0" w:type="dxa"/>
          <w:left w:w="108" w:type="dxa"/>
          <w:bottom w:w="0" w:type="dxa"/>
          <w:right w:w="108" w:type="dxa"/>
        </w:tblCellMar>
      </w:tblPr>
      <w:tblGrid>
        <w:gridCol w:w="1526"/>
        <w:gridCol w:w="2551"/>
        <w:gridCol w:w="1134"/>
        <w:gridCol w:w="1276"/>
        <w:gridCol w:w="1276"/>
        <w:gridCol w:w="1417"/>
        <w:gridCol w:w="1276"/>
      </w:tblGrid>
      <w:tr>
        <w:tblPrEx>
          <w:tblCellMar>
            <w:top w:w="0" w:type="dxa"/>
            <w:left w:w="108" w:type="dxa"/>
            <w:bottom w:w="0" w:type="dxa"/>
            <w:right w:w="108" w:type="dxa"/>
          </w:tblCellMar>
        </w:tblPrEx>
        <w:trPr>
          <w:cantSplit/>
          <w:trHeight w:val="342" w:hRule="atLeast"/>
        </w:trPr>
        <w:tc>
          <w:tcPr>
            <w:tcW w:w="10456" w:type="dxa"/>
            <w:gridSpan w:val="7"/>
            <w:tcBorders>
              <w:top w:val="single" w:color="auto" w:sz="4" w:space="0"/>
              <w:left w:val="single" w:color="auto" w:sz="8" w:space="0"/>
              <w:bottom w:val="single" w:color="auto" w:sz="4" w:space="0"/>
              <w:right w:val="single" w:color="auto" w:sz="8" w:space="0"/>
            </w:tcBorders>
            <w:vAlign w:val="center"/>
          </w:tcPr>
          <w:p>
            <w:pPr>
              <w:ind w:firstLine="560"/>
              <w:rPr>
                <w:b w:val="0"/>
                <w:bCs w:val="0"/>
              </w:rPr>
            </w:pPr>
            <w:r>
              <w:rPr>
                <w:rFonts w:hint="eastAsia"/>
                <w:b w:val="0"/>
                <w:bCs w:val="0"/>
              </w:rPr>
              <w:t>气体灭火系统检验报价</w:t>
            </w:r>
          </w:p>
        </w:tc>
      </w:tr>
      <w:tr>
        <w:tblPrEx>
          <w:tblCellMar>
            <w:top w:w="0" w:type="dxa"/>
            <w:left w:w="108" w:type="dxa"/>
            <w:bottom w:w="0" w:type="dxa"/>
            <w:right w:w="108" w:type="dxa"/>
          </w:tblCellMar>
        </w:tblPrEx>
        <w:trPr>
          <w:cantSplit/>
          <w:trHeight w:val="544" w:hRule="atLeast"/>
        </w:trPr>
        <w:tc>
          <w:tcPr>
            <w:tcW w:w="1526" w:type="dxa"/>
            <w:tcBorders>
              <w:top w:val="single" w:color="auto" w:sz="4" w:space="0"/>
              <w:left w:val="single" w:color="auto" w:sz="8" w:space="0"/>
              <w:bottom w:val="single" w:color="auto" w:sz="4" w:space="0"/>
              <w:right w:val="single" w:color="auto" w:sz="4" w:space="0"/>
            </w:tcBorders>
            <w:vAlign w:val="center"/>
          </w:tcPr>
          <w:p>
            <w:pPr>
              <w:ind w:firstLine="560"/>
              <w:rPr>
                <w:b w:val="0"/>
                <w:bCs w:val="0"/>
              </w:rPr>
            </w:pPr>
            <w:r>
              <w:rPr>
                <w:rFonts w:hint="eastAsia"/>
                <w:b w:val="0"/>
                <w:bCs w:val="0"/>
              </w:rPr>
              <w:t>序号</w:t>
            </w:r>
          </w:p>
        </w:tc>
        <w:tc>
          <w:tcPr>
            <w:tcW w:w="2551" w:type="dxa"/>
            <w:tcBorders>
              <w:top w:val="single" w:color="auto" w:sz="4" w:space="0"/>
              <w:left w:val="nil"/>
              <w:bottom w:val="single" w:color="auto" w:sz="4" w:space="0"/>
              <w:right w:val="single" w:color="auto" w:sz="4" w:space="0"/>
            </w:tcBorders>
            <w:vAlign w:val="center"/>
          </w:tcPr>
          <w:p>
            <w:pPr>
              <w:ind w:firstLine="560"/>
              <w:rPr>
                <w:b w:val="0"/>
                <w:bCs w:val="0"/>
              </w:rPr>
            </w:pPr>
            <w:r>
              <w:rPr>
                <w:rFonts w:hint="eastAsia"/>
                <w:b w:val="0"/>
                <w:bCs w:val="0"/>
              </w:rPr>
              <w:t>名称</w:t>
            </w:r>
          </w:p>
        </w:tc>
        <w:tc>
          <w:tcPr>
            <w:tcW w:w="1134" w:type="dxa"/>
            <w:tcBorders>
              <w:top w:val="single" w:color="auto" w:sz="4" w:space="0"/>
              <w:left w:val="nil"/>
              <w:bottom w:val="single" w:color="auto" w:sz="4" w:space="0"/>
              <w:right w:val="single" w:color="auto" w:sz="4" w:space="0"/>
            </w:tcBorders>
            <w:vAlign w:val="center"/>
          </w:tcPr>
          <w:p>
            <w:pPr>
              <w:ind w:firstLine="560"/>
              <w:rPr>
                <w:b w:val="0"/>
                <w:bCs w:val="0"/>
              </w:rPr>
            </w:pPr>
            <w:r>
              <w:rPr>
                <w:rFonts w:hint="eastAsia"/>
                <w:b w:val="0"/>
                <w:bCs w:val="0"/>
              </w:rPr>
              <w:t>单位</w:t>
            </w:r>
          </w:p>
        </w:tc>
        <w:tc>
          <w:tcPr>
            <w:tcW w:w="1276" w:type="dxa"/>
            <w:tcBorders>
              <w:top w:val="single" w:color="auto" w:sz="4" w:space="0"/>
              <w:left w:val="nil"/>
              <w:bottom w:val="single" w:color="auto" w:sz="4" w:space="0"/>
              <w:right w:val="single" w:color="auto" w:sz="8" w:space="0"/>
            </w:tcBorders>
            <w:vAlign w:val="center"/>
          </w:tcPr>
          <w:p>
            <w:pPr>
              <w:ind w:firstLine="560"/>
              <w:rPr>
                <w:b w:val="0"/>
                <w:bCs w:val="0"/>
              </w:rPr>
            </w:pPr>
            <w:r>
              <w:rPr>
                <w:rFonts w:hint="eastAsia"/>
                <w:b w:val="0"/>
                <w:bCs w:val="0"/>
              </w:rPr>
              <w:t>数量</w:t>
            </w:r>
          </w:p>
        </w:tc>
        <w:tc>
          <w:tcPr>
            <w:tcW w:w="1276" w:type="dxa"/>
            <w:tcBorders>
              <w:top w:val="single" w:color="auto" w:sz="4" w:space="0"/>
              <w:left w:val="nil"/>
              <w:bottom w:val="single" w:color="auto" w:sz="4" w:space="0"/>
              <w:right w:val="single" w:color="auto" w:sz="8" w:space="0"/>
            </w:tcBorders>
            <w:vAlign w:val="center"/>
          </w:tcPr>
          <w:p>
            <w:pPr>
              <w:ind w:firstLine="560"/>
              <w:rPr>
                <w:b w:val="0"/>
                <w:bCs w:val="0"/>
              </w:rPr>
            </w:pPr>
            <w:r>
              <w:rPr>
                <w:rFonts w:hint="eastAsia"/>
                <w:b w:val="0"/>
                <w:bCs w:val="0"/>
              </w:rPr>
              <w:t>单价（元）</w:t>
            </w:r>
          </w:p>
        </w:tc>
        <w:tc>
          <w:tcPr>
            <w:tcW w:w="1417" w:type="dxa"/>
            <w:tcBorders>
              <w:top w:val="single" w:color="auto" w:sz="4" w:space="0"/>
              <w:left w:val="nil"/>
              <w:bottom w:val="single" w:color="auto" w:sz="4" w:space="0"/>
              <w:right w:val="single" w:color="auto" w:sz="8" w:space="0"/>
            </w:tcBorders>
          </w:tcPr>
          <w:p>
            <w:pPr>
              <w:ind w:firstLine="560"/>
              <w:rPr>
                <w:b w:val="0"/>
                <w:bCs w:val="0"/>
              </w:rPr>
            </w:pPr>
            <w:r>
              <w:rPr>
                <w:rFonts w:hint="eastAsia"/>
                <w:b w:val="0"/>
                <w:bCs w:val="0"/>
              </w:rPr>
              <w:t>合计（元）</w:t>
            </w:r>
          </w:p>
        </w:tc>
        <w:tc>
          <w:tcPr>
            <w:tcW w:w="1276" w:type="dxa"/>
            <w:tcBorders>
              <w:top w:val="single" w:color="auto" w:sz="4" w:space="0"/>
              <w:left w:val="nil"/>
              <w:bottom w:val="single" w:color="auto" w:sz="4" w:space="0"/>
              <w:right w:val="single" w:color="auto" w:sz="8" w:space="0"/>
            </w:tcBorders>
          </w:tcPr>
          <w:p>
            <w:pPr>
              <w:ind w:firstLine="560"/>
              <w:rPr>
                <w:b w:val="0"/>
                <w:bCs w:val="0"/>
              </w:rPr>
            </w:pPr>
            <w:r>
              <w:rPr>
                <w:rFonts w:hint="eastAsia"/>
                <w:b w:val="0"/>
                <w:bCs w:val="0"/>
              </w:rPr>
              <w:t>备注</w:t>
            </w:r>
          </w:p>
        </w:tc>
      </w:tr>
      <w:tr>
        <w:tblPrEx>
          <w:tblCellMar>
            <w:top w:w="0" w:type="dxa"/>
            <w:left w:w="108" w:type="dxa"/>
            <w:bottom w:w="0" w:type="dxa"/>
            <w:right w:w="108" w:type="dxa"/>
          </w:tblCellMar>
        </w:tblPrEx>
        <w:trPr>
          <w:cantSplit/>
          <w:trHeight w:val="469" w:hRule="atLeast"/>
        </w:trPr>
        <w:tc>
          <w:tcPr>
            <w:tcW w:w="1526" w:type="dxa"/>
            <w:tcBorders>
              <w:top w:val="single" w:color="auto" w:sz="4" w:space="0"/>
              <w:left w:val="single" w:color="auto" w:sz="8" w:space="0"/>
              <w:bottom w:val="single" w:color="auto" w:sz="4" w:space="0"/>
              <w:right w:val="single" w:color="auto" w:sz="4" w:space="0"/>
            </w:tcBorders>
            <w:vAlign w:val="center"/>
          </w:tcPr>
          <w:p>
            <w:pPr>
              <w:ind w:firstLine="560"/>
              <w:rPr>
                <w:b w:val="0"/>
                <w:bCs w:val="0"/>
              </w:rPr>
            </w:pPr>
            <w:r>
              <w:rPr>
                <w:rFonts w:hint="eastAsia"/>
                <w:b w:val="0"/>
                <w:bCs w:val="0"/>
              </w:rPr>
              <w:t>1</w:t>
            </w:r>
          </w:p>
        </w:tc>
        <w:tc>
          <w:tcPr>
            <w:tcW w:w="2551" w:type="dxa"/>
            <w:tcBorders>
              <w:top w:val="single" w:color="auto" w:sz="4" w:space="0"/>
              <w:left w:val="nil"/>
              <w:bottom w:val="single" w:color="auto" w:sz="4" w:space="0"/>
              <w:right w:val="single" w:color="auto" w:sz="4" w:space="0"/>
            </w:tcBorders>
            <w:vAlign w:val="center"/>
          </w:tcPr>
          <w:p>
            <w:pPr>
              <w:ind w:firstLine="560"/>
              <w:rPr>
                <w:b w:val="0"/>
                <w:bCs w:val="0"/>
              </w:rPr>
            </w:pPr>
            <w:r>
              <w:rPr>
                <w:rFonts w:hint="eastAsia"/>
                <w:b w:val="0"/>
                <w:bCs w:val="0"/>
              </w:rPr>
              <w:t>钢瓶检验</w:t>
            </w:r>
          </w:p>
        </w:tc>
        <w:tc>
          <w:tcPr>
            <w:tcW w:w="1134" w:type="dxa"/>
            <w:tcBorders>
              <w:top w:val="single" w:color="auto" w:sz="4" w:space="0"/>
              <w:left w:val="nil"/>
              <w:bottom w:val="single" w:color="auto" w:sz="4" w:space="0"/>
              <w:right w:val="single" w:color="auto" w:sz="4" w:space="0"/>
            </w:tcBorders>
            <w:vAlign w:val="center"/>
          </w:tcPr>
          <w:p>
            <w:pPr>
              <w:ind w:firstLine="560"/>
              <w:rPr>
                <w:b w:val="0"/>
                <w:bCs w:val="0"/>
              </w:rPr>
            </w:pPr>
            <w:r>
              <w:rPr>
                <w:rFonts w:hint="eastAsia"/>
                <w:b w:val="0"/>
                <w:bCs w:val="0"/>
              </w:rPr>
              <w:t>只</w:t>
            </w:r>
          </w:p>
        </w:tc>
        <w:tc>
          <w:tcPr>
            <w:tcW w:w="1276" w:type="dxa"/>
            <w:tcBorders>
              <w:top w:val="single" w:color="auto" w:sz="4" w:space="0"/>
              <w:left w:val="nil"/>
              <w:bottom w:val="single" w:color="auto" w:sz="4" w:space="0"/>
              <w:right w:val="single" w:color="auto" w:sz="8" w:space="0"/>
            </w:tcBorders>
            <w:vAlign w:val="center"/>
          </w:tcPr>
          <w:p>
            <w:pPr>
              <w:ind w:firstLine="560"/>
              <w:rPr>
                <w:b w:val="0"/>
                <w:bCs w:val="0"/>
              </w:rPr>
            </w:pPr>
            <w:r>
              <w:rPr>
                <w:rFonts w:hint="eastAsia"/>
                <w:b w:val="0"/>
                <w:bCs w:val="0"/>
              </w:rPr>
              <w:t>23</w:t>
            </w:r>
          </w:p>
        </w:tc>
        <w:tc>
          <w:tcPr>
            <w:tcW w:w="1276" w:type="dxa"/>
            <w:tcBorders>
              <w:top w:val="single" w:color="auto" w:sz="4" w:space="0"/>
              <w:left w:val="nil"/>
              <w:bottom w:val="single" w:color="auto" w:sz="4" w:space="0"/>
              <w:right w:val="single" w:color="auto" w:sz="8" w:space="0"/>
            </w:tcBorders>
            <w:vAlign w:val="center"/>
          </w:tcPr>
          <w:p>
            <w:pPr>
              <w:ind w:firstLine="560"/>
              <w:rPr>
                <w:b w:val="0"/>
                <w:bCs w:val="0"/>
              </w:rPr>
            </w:pPr>
          </w:p>
        </w:tc>
        <w:tc>
          <w:tcPr>
            <w:tcW w:w="1417" w:type="dxa"/>
            <w:tcBorders>
              <w:top w:val="single" w:color="auto" w:sz="4" w:space="0"/>
              <w:left w:val="nil"/>
              <w:bottom w:val="single" w:color="auto" w:sz="4" w:space="0"/>
              <w:right w:val="single" w:color="auto" w:sz="8" w:space="0"/>
            </w:tcBorders>
          </w:tcPr>
          <w:p>
            <w:pPr>
              <w:ind w:firstLine="560"/>
              <w:rPr>
                <w:b w:val="0"/>
                <w:bCs w:val="0"/>
              </w:rPr>
            </w:pPr>
          </w:p>
        </w:tc>
        <w:tc>
          <w:tcPr>
            <w:tcW w:w="1276" w:type="dxa"/>
            <w:tcBorders>
              <w:top w:val="single" w:color="auto" w:sz="4" w:space="0"/>
              <w:left w:val="nil"/>
              <w:bottom w:val="single" w:color="auto" w:sz="4" w:space="0"/>
              <w:right w:val="single" w:color="auto" w:sz="8" w:space="0"/>
            </w:tcBorders>
          </w:tcPr>
          <w:p>
            <w:pPr>
              <w:ind w:firstLine="560"/>
              <w:rPr>
                <w:b w:val="0"/>
                <w:bCs w:val="0"/>
              </w:rPr>
            </w:pPr>
          </w:p>
        </w:tc>
      </w:tr>
      <w:tr>
        <w:tblPrEx>
          <w:tblCellMar>
            <w:top w:w="0" w:type="dxa"/>
            <w:left w:w="108" w:type="dxa"/>
            <w:bottom w:w="0" w:type="dxa"/>
            <w:right w:w="108" w:type="dxa"/>
          </w:tblCellMar>
        </w:tblPrEx>
        <w:trPr>
          <w:cantSplit/>
          <w:trHeight w:val="327" w:hRule="atLeast"/>
        </w:trPr>
        <w:tc>
          <w:tcPr>
            <w:tcW w:w="1526" w:type="dxa"/>
            <w:tcBorders>
              <w:top w:val="nil"/>
              <w:left w:val="single" w:color="auto" w:sz="8" w:space="0"/>
              <w:bottom w:val="single" w:color="auto" w:sz="4" w:space="0"/>
              <w:right w:val="single" w:color="auto" w:sz="4" w:space="0"/>
            </w:tcBorders>
            <w:vAlign w:val="center"/>
          </w:tcPr>
          <w:p>
            <w:pPr>
              <w:ind w:firstLine="560"/>
              <w:rPr>
                <w:b w:val="0"/>
                <w:bCs w:val="0"/>
              </w:rPr>
            </w:pPr>
            <w:r>
              <w:rPr>
                <w:rFonts w:hint="eastAsia"/>
                <w:b w:val="0"/>
                <w:bCs w:val="0"/>
              </w:rPr>
              <w:t>2</w:t>
            </w:r>
          </w:p>
        </w:tc>
        <w:tc>
          <w:tcPr>
            <w:tcW w:w="2551" w:type="dxa"/>
            <w:tcBorders>
              <w:top w:val="nil"/>
              <w:left w:val="nil"/>
              <w:bottom w:val="single" w:color="auto" w:sz="4" w:space="0"/>
              <w:right w:val="single" w:color="auto" w:sz="4" w:space="0"/>
            </w:tcBorders>
            <w:vAlign w:val="center"/>
          </w:tcPr>
          <w:p>
            <w:pPr>
              <w:ind w:firstLine="560"/>
              <w:rPr>
                <w:b w:val="0"/>
                <w:bCs w:val="0"/>
              </w:rPr>
            </w:pPr>
            <w:r>
              <w:rPr>
                <w:rFonts w:hint="eastAsia"/>
                <w:b w:val="0"/>
                <w:bCs w:val="0"/>
              </w:rPr>
              <w:t>瓶组密封性能试验</w:t>
            </w:r>
          </w:p>
        </w:tc>
        <w:tc>
          <w:tcPr>
            <w:tcW w:w="1134" w:type="dxa"/>
            <w:tcBorders>
              <w:top w:val="nil"/>
              <w:left w:val="nil"/>
              <w:bottom w:val="single" w:color="auto" w:sz="4" w:space="0"/>
              <w:right w:val="single" w:color="auto" w:sz="4" w:space="0"/>
            </w:tcBorders>
            <w:vAlign w:val="center"/>
          </w:tcPr>
          <w:p>
            <w:pPr>
              <w:ind w:firstLine="560"/>
              <w:rPr>
                <w:b w:val="0"/>
                <w:bCs w:val="0"/>
              </w:rPr>
            </w:pPr>
            <w:r>
              <w:rPr>
                <w:rFonts w:hint="eastAsia"/>
                <w:b w:val="0"/>
                <w:bCs w:val="0"/>
              </w:rPr>
              <w:t>只</w:t>
            </w:r>
          </w:p>
        </w:tc>
        <w:tc>
          <w:tcPr>
            <w:tcW w:w="1276" w:type="dxa"/>
            <w:tcBorders>
              <w:top w:val="nil"/>
              <w:left w:val="nil"/>
              <w:bottom w:val="single" w:color="auto" w:sz="4" w:space="0"/>
              <w:right w:val="single" w:color="auto" w:sz="8" w:space="0"/>
            </w:tcBorders>
            <w:vAlign w:val="center"/>
          </w:tcPr>
          <w:p>
            <w:pPr>
              <w:ind w:firstLine="560"/>
              <w:rPr>
                <w:b w:val="0"/>
                <w:bCs w:val="0"/>
              </w:rPr>
            </w:pPr>
            <w:r>
              <w:rPr>
                <w:rFonts w:hint="eastAsia"/>
                <w:b w:val="0"/>
                <w:bCs w:val="0"/>
              </w:rPr>
              <w:t>23</w:t>
            </w:r>
          </w:p>
        </w:tc>
        <w:tc>
          <w:tcPr>
            <w:tcW w:w="1276" w:type="dxa"/>
            <w:tcBorders>
              <w:top w:val="nil"/>
              <w:left w:val="nil"/>
              <w:bottom w:val="single" w:color="auto" w:sz="4" w:space="0"/>
              <w:right w:val="single" w:color="auto" w:sz="8" w:space="0"/>
            </w:tcBorders>
            <w:vAlign w:val="center"/>
          </w:tcPr>
          <w:p>
            <w:pPr>
              <w:ind w:firstLine="560"/>
              <w:rPr>
                <w:b w:val="0"/>
                <w:bCs w:val="0"/>
              </w:rPr>
            </w:pPr>
          </w:p>
        </w:tc>
        <w:tc>
          <w:tcPr>
            <w:tcW w:w="1417" w:type="dxa"/>
            <w:tcBorders>
              <w:top w:val="nil"/>
              <w:left w:val="nil"/>
              <w:bottom w:val="single" w:color="auto" w:sz="4" w:space="0"/>
              <w:right w:val="single" w:color="auto" w:sz="8" w:space="0"/>
            </w:tcBorders>
          </w:tcPr>
          <w:p>
            <w:pPr>
              <w:ind w:firstLine="560"/>
              <w:rPr>
                <w:b w:val="0"/>
                <w:bCs w:val="0"/>
              </w:rPr>
            </w:pPr>
          </w:p>
        </w:tc>
        <w:tc>
          <w:tcPr>
            <w:tcW w:w="1276" w:type="dxa"/>
            <w:tcBorders>
              <w:top w:val="nil"/>
              <w:left w:val="nil"/>
              <w:bottom w:val="single" w:color="auto" w:sz="4" w:space="0"/>
              <w:right w:val="single" w:color="auto" w:sz="8" w:space="0"/>
            </w:tcBorders>
          </w:tcPr>
          <w:p>
            <w:pPr>
              <w:ind w:firstLine="560"/>
              <w:rPr>
                <w:b w:val="0"/>
                <w:bCs w:val="0"/>
              </w:rPr>
            </w:pPr>
          </w:p>
        </w:tc>
      </w:tr>
      <w:tr>
        <w:tblPrEx>
          <w:tblCellMar>
            <w:top w:w="0" w:type="dxa"/>
            <w:left w:w="108" w:type="dxa"/>
            <w:bottom w:w="0" w:type="dxa"/>
            <w:right w:w="108" w:type="dxa"/>
          </w:tblCellMar>
        </w:tblPrEx>
        <w:trPr>
          <w:cantSplit/>
          <w:trHeight w:val="356" w:hRule="atLeast"/>
        </w:trPr>
        <w:tc>
          <w:tcPr>
            <w:tcW w:w="1526" w:type="dxa"/>
            <w:tcBorders>
              <w:top w:val="nil"/>
              <w:left w:val="single" w:color="auto" w:sz="8" w:space="0"/>
              <w:bottom w:val="single" w:color="auto" w:sz="4" w:space="0"/>
              <w:right w:val="single" w:color="auto" w:sz="4" w:space="0"/>
            </w:tcBorders>
            <w:vAlign w:val="center"/>
          </w:tcPr>
          <w:p>
            <w:pPr>
              <w:ind w:firstLine="560"/>
              <w:rPr>
                <w:b w:val="0"/>
                <w:bCs w:val="0"/>
              </w:rPr>
            </w:pPr>
            <w:r>
              <w:rPr>
                <w:rFonts w:hint="eastAsia"/>
                <w:b w:val="0"/>
                <w:bCs w:val="0"/>
              </w:rPr>
              <w:t>3</w:t>
            </w:r>
          </w:p>
        </w:tc>
        <w:tc>
          <w:tcPr>
            <w:tcW w:w="2551" w:type="dxa"/>
            <w:tcBorders>
              <w:top w:val="nil"/>
              <w:left w:val="nil"/>
              <w:bottom w:val="single" w:color="auto" w:sz="4" w:space="0"/>
              <w:right w:val="single" w:color="auto" w:sz="4" w:space="0"/>
            </w:tcBorders>
            <w:vAlign w:val="center"/>
          </w:tcPr>
          <w:p>
            <w:pPr>
              <w:ind w:firstLine="560"/>
              <w:rPr>
                <w:b w:val="0"/>
                <w:bCs w:val="0"/>
              </w:rPr>
            </w:pPr>
            <w:r>
              <w:rPr>
                <w:rFonts w:hint="eastAsia"/>
                <w:b w:val="0"/>
                <w:bCs w:val="0"/>
              </w:rPr>
              <w:t>七氟丙烷灭火剂</w:t>
            </w:r>
          </w:p>
        </w:tc>
        <w:tc>
          <w:tcPr>
            <w:tcW w:w="1134" w:type="dxa"/>
            <w:tcBorders>
              <w:top w:val="nil"/>
              <w:left w:val="nil"/>
              <w:bottom w:val="single" w:color="auto" w:sz="4" w:space="0"/>
              <w:right w:val="single" w:color="auto" w:sz="4" w:space="0"/>
            </w:tcBorders>
            <w:vAlign w:val="center"/>
          </w:tcPr>
          <w:p>
            <w:pPr>
              <w:ind w:firstLine="560"/>
              <w:rPr>
                <w:b w:val="0"/>
                <w:bCs w:val="0"/>
              </w:rPr>
            </w:pPr>
            <w:r>
              <w:rPr>
                <w:b w:val="0"/>
                <w:bCs w:val="0"/>
              </w:rPr>
              <w:t>K</w:t>
            </w:r>
            <w:r>
              <w:rPr>
                <w:rFonts w:hint="eastAsia"/>
                <w:b w:val="0"/>
                <w:bCs w:val="0"/>
              </w:rPr>
              <w:t>g</w:t>
            </w:r>
          </w:p>
        </w:tc>
        <w:tc>
          <w:tcPr>
            <w:tcW w:w="1276" w:type="dxa"/>
            <w:tcBorders>
              <w:top w:val="nil"/>
              <w:left w:val="nil"/>
              <w:bottom w:val="single" w:color="auto" w:sz="4" w:space="0"/>
              <w:right w:val="single" w:color="auto" w:sz="8" w:space="0"/>
            </w:tcBorders>
            <w:vAlign w:val="center"/>
          </w:tcPr>
          <w:p>
            <w:pPr>
              <w:ind w:firstLine="560"/>
              <w:rPr>
                <w:b w:val="0"/>
                <w:bCs w:val="0"/>
              </w:rPr>
            </w:pPr>
            <w:r>
              <w:rPr>
                <w:rFonts w:hint="eastAsia"/>
                <w:b w:val="0"/>
                <w:bCs w:val="0"/>
              </w:rPr>
              <w:t>400</w:t>
            </w:r>
          </w:p>
        </w:tc>
        <w:tc>
          <w:tcPr>
            <w:tcW w:w="1276" w:type="dxa"/>
            <w:tcBorders>
              <w:top w:val="nil"/>
              <w:left w:val="nil"/>
              <w:bottom w:val="single" w:color="auto" w:sz="4" w:space="0"/>
              <w:right w:val="single" w:color="auto" w:sz="8" w:space="0"/>
            </w:tcBorders>
            <w:vAlign w:val="center"/>
          </w:tcPr>
          <w:p>
            <w:pPr>
              <w:ind w:firstLine="560"/>
              <w:rPr>
                <w:b w:val="0"/>
                <w:bCs w:val="0"/>
              </w:rPr>
            </w:pPr>
          </w:p>
        </w:tc>
        <w:tc>
          <w:tcPr>
            <w:tcW w:w="1417" w:type="dxa"/>
            <w:tcBorders>
              <w:top w:val="nil"/>
              <w:left w:val="nil"/>
              <w:bottom w:val="single" w:color="auto" w:sz="4" w:space="0"/>
              <w:right w:val="single" w:color="auto" w:sz="8" w:space="0"/>
            </w:tcBorders>
          </w:tcPr>
          <w:p>
            <w:pPr>
              <w:ind w:firstLine="560"/>
              <w:rPr>
                <w:b w:val="0"/>
                <w:bCs w:val="0"/>
              </w:rPr>
            </w:pPr>
          </w:p>
        </w:tc>
        <w:tc>
          <w:tcPr>
            <w:tcW w:w="1276" w:type="dxa"/>
            <w:tcBorders>
              <w:top w:val="nil"/>
              <w:left w:val="nil"/>
              <w:bottom w:val="single" w:color="auto" w:sz="4" w:space="0"/>
              <w:right w:val="single" w:color="auto" w:sz="8" w:space="0"/>
            </w:tcBorders>
          </w:tcPr>
          <w:p>
            <w:pPr>
              <w:ind w:firstLine="560"/>
              <w:rPr>
                <w:b w:val="0"/>
                <w:bCs w:val="0"/>
              </w:rPr>
            </w:pPr>
          </w:p>
        </w:tc>
      </w:tr>
      <w:tr>
        <w:tblPrEx>
          <w:tblCellMar>
            <w:top w:w="0" w:type="dxa"/>
            <w:left w:w="108" w:type="dxa"/>
            <w:bottom w:w="0" w:type="dxa"/>
            <w:right w:w="108" w:type="dxa"/>
          </w:tblCellMar>
        </w:tblPrEx>
        <w:trPr>
          <w:cantSplit/>
          <w:trHeight w:val="342" w:hRule="atLeast"/>
        </w:trPr>
        <w:tc>
          <w:tcPr>
            <w:tcW w:w="1526" w:type="dxa"/>
            <w:tcBorders>
              <w:top w:val="nil"/>
              <w:left w:val="single" w:color="auto" w:sz="8" w:space="0"/>
              <w:bottom w:val="single" w:color="auto" w:sz="4" w:space="0"/>
              <w:right w:val="single" w:color="auto" w:sz="4" w:space="0"/>
            </w:tcBorders>
            <w:vAlign w:val="center"/>
          </w:tcPr>
          <w:p>
            <w:pPr>
              <w:ind w:firstLine="560"/>
              <w:rPr>
                <w:b w:val="0"/>
                <w:bCs w:val="0"/>
              </w:rPr>
            </w:pPr>
          </w:p>
        </w:tc>
        <w:tc>
          <w:tcPr>
            <w:tcW w:w="2551" w:type="dxa"/>
            <w:tcBorders>
              <w:top w:val="nil"/>
              <w:left w:val="nil"/>
              <w:bottom w:val="single" w:color="auto" w:sz="4" w:space="0"/>
              <w:right w:val="single" w:color="auto" w:sz="4" w:space="0"/>
            </w:tcBorders>
            <w:vAlign w:val="center"/>
          </w:tcPr>
          <w:p>
            <w:pPr>
              <w:ind w:firstLine="560"/>
              <w:rPr>
                <w:rFonts w:hAnsi="宋体"/>
                <w:b w:val="0"/>
                <w:bCs w:val="0"/>
              </w:rPr>
            </w:pPr>
            <w:r>
              <w:rPr>
                <w:rFonts w:hint="eastAsia"/>
                <w:b w:val="0"/>
                <w:bCs w:val="0"/>
              </w:rPr>
              <w:t>氮气</w:t>
            </w:r>
          </w:p>
        </w:tc>
        <w:tc>
          <w:tcPr>
            <w:tcW w:w="1134" w:type="dxa"/>
            <w:tcBorders>
              <w:top w:val="nil"/>
              <w:left w:val="nil"/>
              <w:bottom w:val="single" w:color="auto" w:sz="4" w:space="0"/>
              <w:right w:val="single" w:color="auto" w:sz="4" w:space="0"/>
            </w:tcBorders>
            <w:vAlign w:val="center"/>
          </w:tcPr>
          <w:p>
            <w:pPr>
              <w:ind w:firstLine="560"/>
              <w:rPr>
                <w:b w:val="0"/>
                <w:bCs w:val="0"/>
              </w:rPr>
            </w:pPr>
            <w:r>
              <w:rPr>
                <w:b w:val="0"/>
                <w:bCs w:val="0"/>
              </w:rPr>
              <w:t>K</w:t>
            </w:r>
            <w:r>
              <w:rPr>
                <w:rFonts w:hint="eastAsia"/>
                <w:b w:val="0"/>
                <w:bCs w:val="0"/>
              </w:rPr>
              <w:t>g</w:t>
            </w:r>
          </w:p>
        </w:tc>
        <w:tc>
          <w:tcPr>
            <w:tcW w:w="1276" w:type="dxa"/>
            <w:tcBorders>
              <w:top w:val="nil"/>
              <w:left w:val="nil"/>
              <w:bottom w:val="single" w:color="auto" w:sz="4" w:space="0"/>
              <w:right w:val="single" w:color="auto" w:sz="8" w:space="0"/>
            </w:tcBorders>
            <w:vAlign w:val="center"/>
          </w:tcPr>
          <w:p>
            <w:pPr>
              <w:ind w:firstLine="560"/>
              <w:rPr>
                <w:b w:val="0"/>
                <w:bCs w:val="0"/>
              </w:rPr>
            </w:pPr>
            <w:r>
              <w:rPr>
                <w:rFonts w:hint="eastAsia"/>
                <w:b w:val="0"/>
                <w:bCs w:val="0"/>
              </w:rPr>
              <w:t>5</w:t>
            </w:r>
          </w:p>
        </w:tc>
        <w:tc>
          <w:tcPr>
            <w:tcW w:w="1276" w:type="dxa"/>
            <w:tcBorders>
              <w:top w:val="nil"/>
              <w:left w:val="nil"/>
              <w:bottom w:val="single" w:color="auto" w:sz="4" w:space="0"/>
              <w:right w:val="single" w:color="auto" w:sz="8" w:space="0"/>
            </w:tcBorders>
            <w:vAlign w:val="center"/>
          </w:tcPr>
          <w:p>
            <w:pPr>
              <w:ind w:firstLine="560"/>
              <w:rPr>
                <w:b w:val="0"/>
                <w:bCs w:val="0"/>
              </w:rPr>
            </w:pPr>
          </w:p>
        </w:tc>
        <w:tc>
          <w:tcPr>
            <w:tcW w:w="1417" w:type="dxa"/>
            <w:tcBorders>
              <w:top w:val="nil"/>
              <w:left w:val="nil"/>
              <w:bottom w:val="single" w:color="auto" w:sz="4" w:space="0"/>
              <w:right w:val="single" w:color="auto" w:sz="8" w:space="0"/>
            </w:tcBorders>
          </w:tcPr>
          <w:p>
            <w:pPr>
              <w:ind w:firstLine="560"/>
              <w:rPr>
                <w:b w:val="0"/>
                <w:bCs w:val="0"/>
              </w:rPr>
            </w:pPr>
          </w:p>
        </w:tc>
        <w:tc>
          <w:tcPr>
            <w:tcW w:w="1276" w:type="dxa"/>
            <w:tcBorders>
              <w:top w:val="nil"/>
              <w:left w:val="nil"/>
              <w:bottom w:val="single" w:color="auto" w:sz="4" w:space="0"/>
              <w:right w:val="single" w:color="auto" w:sz="8" w:space="0"/>
            </w:tcBorders>
          </w:tcPr>
          <w:p>
            <w:pPr>
              <w:ind w:firstLine="560"/>
              <w:rPr>
                <w:b w:val="0"/>
                <w:bCs w:val="0"/>
              </w:rPr>
            </w:pPr>
          </w:p>
        </w:tc>
      </w:tr>
      <w:tr>
        <w:tblPrEx>
          <w:tblCellMar>
            <w:top w:w="0" w:type="dxa"/>
            <w:left w:w="108" w:type="dxa"/>
            <w:bottom w:w="0" w:type="dxa"/>
            <w:right w:w="108" w:type="dxa"/>
          </w:tblCellMar>
        </w:tblPrEx>
        <w:trPr>
          <w:cantSplit/>
          <w:trHeight w:val="342" w:hRule="atLeast"/>
        </w:trPr>
        <w:tc>
          <w:tcPr>
            <w:tcW w:w="1526" w:type="dxa"/>
            <w:tcBorders>
              <w:top w:val="nil"/>
              <w:left w:val="single" w:color="auto" w:sz="8" w:space="0"/>
              <w:bottom w:val="single" w:color="auto" w:sz="4" w:space="0"/>
              <w:right w:val="single" w:color="auto" w:sz="4" w:space="0"/>
            </w:tcBorders>
            <w:vAlign w:val="center"/>
          </w:tcPr>
          <w:p>
            <w:pPr>
              <w:ind w:firstLine="560"/>
              <w:rPr>
                <w:b w:val="0"/>
                <w:bCs w:val="0"/>
              </w:rPr>
            </w:pPr>
            <w:r>
              <w:rPr>
                <w:rFonts w:hint="eastAsia"/>
                <w:b w:val="0"/>
                <w:bCs w:val="0"/>
              </w:rPr>
              <w:t>4</w:t>
            </w:r>
          </w:p>
        </w:tc>
        <w:tc>
          <w:tcPr>
            <w:tcW w:w="2551" w:type="dxa"/>
            <w:tcBorders>
              <w:top w:val="nil"/>
              <w:left w:val="nil"/>
              <w:bottom w:val="single" w:color="auto" w:sz="4" w:space="0"/>
              <w:right w:val="single" w:color="auto" w:sz="4" w:space="0"/>
            </w:tcBorders>
            <w:vAlign w:val="center"/>
          </w:tcPr>
          <w:p>
            <w:pPr>
              <w:ind w:firstLine="560"/>
              <w:rPr>
                <w:b w:val="0"/>
                <w:bCs w:val="0"/>
              </w:rPr>
            </w:pPr>
            <w:r>
              <w:rPr>
                <w:rFonts w:hint="eastAsia"/>
                <w:b w:val="0"/>
                <w:bCs w:val="0"/>
              </w:rPr>
              <w:t>拆装、调试费</w:t>
            </w:r>
          </w:p>
        </w:tc>
        <w:tc>
          <w:tcPr>
            <w:tcW w:w="1134" w:type="dxa"/>
            <w:tcBorders>
              <w:top w:val="nil"/>
              <w:left w:val="nil"/>
              <w:bottom w:val="single" w:color="auto" w:sz="4" w:space="0"/>
              <w:right w:val="single" w:color="auto" w:sz="4" w:space="0"/>
            </w:tcBorders>
            <w:vAlign w:val="center"/>
          </w:tcPr>
          <w:p>
            <w:pPr>
              <w:ind w:firstLine="560"/>
              <w:rPr>
                <w:b w:val="0"/>
                <w:bCs w:val="0"/>
              </w:rPr>
            </w:pPr>
            <w:r>
              <w:rPr>
                <w:rFonts w:hint="eastAsia"/>
                <w:b w:val="0"/>
                <w:bCs w:val="0"/>
              </w:rPr>
              <w:t>项</w:t>
            </w:r>
          </w:p>
        </w:tc>
        <w:tc>
          <w:tcPr>
            <w:tcW w:w="1276" w:type="dxa"/>
            <w:tcBorders>
              <w:top w:val="nil"/>
              <w:left w:val="nil"/>
              <w:bottom w:val="single" w:color="auto" w:sz="4" w:space="0"/>
              <w:right w:val="single" w:color="auto" w:sz="8" w:space="0"/>
            </w:tcBorders>
            <w:vAlign w:val="center"/>
          </w:tcPr>
          <w:p>
            <w:pPr>
              <w:ind w:firstLine="560"/>
              <w:rPr>
                <w:b w:val="0"/>
                <w:bCs w:val="0"/>
              </w:rPr>
            </w:pPr>
            <w:r>
              <w:rPr>
                <w:rFonts w:hint="eastAsia"/>
                <w:b w:val="0"/>
                <w:bCs w:val="0"/>
              </w:rPr>
              <w:t>2</w:t>
            </w:r>
          </w:p>
        </w:tc>
        <w:tc>
          <w:tcPr>
            <w:tcW w:w="1276" w:type="dxa"/>
            <w:tcBorders>
              <w:top w:val="nil"/>
              <w:left w:val="nil"/>
              <w:bottom w:val="single" w:color="auto" w:sz="4" w:space="0"/>
              <w:right w:val="single" w:color="auto" w:sz="8" w:space="0"/>
            </w:tcBorders>
            <w:vAlign w:val="center"/>
          </w:tcPr>
          <w:p>
            <w:pPr>
              <w:ind w:firstLine="560"/>
              <w:rPr>
                <w:b w:val="0"/>
                <w:bCs w:val="0"/>
              </w:rPr>
            </w:pPr>
          </w:p>
        </w:tc>
        <w:tc>
          <w:tcPr>
            <w:tcW w:w="1417" w:type="dxa"/>
            <w:tcBorders>
              <w:top w:val="nil"/>
              <w:left w:val="nil"/>
              <w:bottom w:val="single" w:color="auto" w:sz="4" w:space="0"/>
              <w:right w:val="single" w:color="auto" w:sz="8" w:space="0"/>
            </w:tcBorders>
          </w:tcPr>
          <w:p>
            <w:pPr>
              <w:ind w:firstLine="560"/>
              <w:rPr>
                <w:b w:val="0"/>
                <w:bCs w:val="0"/>
              </w:rPr>
            </w:pPr>
          </w:p>
        </w:tc>
        <w:tc>
          <w:tcPr>
            <w:tcW w:w="1276" w:type="dxa"/>
            <w:tcBorders>
              <w:top w:val="nil"/>
              <w:left w:val="nil"/>
              <w:bottom w:val="single" w:color="auto" w:sz="4" w:space="0"/>
              <w:right w:val="single" w:color="auto" w:sz="8" w:space="0"/>
            </w:tcBorders>
          </w:tcPr>
          <w:p>
            <w:pPr>
              <w:ind w:firstLine="560"/>
              <w:rPr>
                <w:b w:val="0"/>
                <w:bCs w:val="0"/>
              </w:rPr>
            </w:pPr>
          </w:p>
        </w:tc>
      </w:tr>
      <w:tr>
        <w:tblPrEx>
          <w:tblCellMar>
            <w:top w:w="0" w:type="dxa"/>
            <w:left w:w="108" w:type="dxa"/>
            <w:bottom w:w="0" w:type="dxa"/>
            <w:right w:w="108" w:type="dxa"/>
          </w:tblCellMar>
        </w:tblPrEx>
        <w:trPr>
          <w:cantSplit/>
          <w:trHeight w:val="342" w:hRule="atLeast"/>
        </w:trPr>
        <w:tc>
          <w:tcPr>
            <w:tcW w:w="1526" w:type="dxa"/>
            <w:tcBorders>
              <w:top w:val="nil"/>
              <w:left w:val="single" w:color="auto" w:sz="8" w:space="0"/>
              <w:bottom w:val="single" w:color="auto" w:sz="4" w:space="0"/>
              <w:right w:val="single" w:color="auto" w:sz="4" w:space="0"/>
            </w:tcBorders>
            <w:vAlign w:val="center"/>
          </w:tcPr>
          <w:p>
            <w:pPr>
              <w:ind w:firstLine="560"/>
              <w:rPr>
                <w:b w:val="0"/>
                <w:bCs w:val="0"/>
              </w:rPr>
            </w:pPr>
            <w:r>
              <w:rPr>
                <w:rFonts w:hint="eastAsia"/>
                <w:b w:val="0"/>
                <w:bCs w:val="0"/>
              </w:rPr>
              <w:t>5</w:t>
            </w:r>
          </w:p>
        </w:tc>
        <w:tc>
          <w:tcPr>
            <w:tcW w:w="2551" w:type="dxa"/>
            <w:tcBorders>
              <w:top w:val="nil"/>
              <w:left w:val="nil"/>
              <w:bottom w:val="single" w:color="auto" w:sz="4" w:space="0"/>
              <w:right w:val="single" w:color="auto" w:sz="4" w:space="0"/>
            </w:tcBorders>
            <w:vAlign w:val="center"/>
          </w:tcPr>
          <w:p>
            <w:pPr>
              <w:ind w:firstLine="560"/>
              <w:rPr>
                <w:b w:val="0"/>
                <w:bCs w:val="0"/>
              </w:rPr>
            </w:pPr>
            <w:r>
              <w:rPr>
                <w:rFonts w:hint="eastAsia"/>
                <w:b w:val="0"/>
                <w:bCs w:val="0"/>
              </w:rPr>
              <w:t>运费</w:t>
            </w:r>
          </w:p>
        </w:tc>
        <w:tc>
          <w:tcPr>
            <w:tcW w:w="1134" w:type="dxa"/>
            <w:tcBorders>
              <w:top w:val="nil"/>
              <w:left w:val="nil"/>
              <w:bottom w:val="single" w:color="auto" w:sz="4" w:space="0"/>
              <w:right w:val="single" w:color="auto" w:sz="4" w:space="0"/>
            </w:tcBorders>
            <w:vAlign w:val="center"/>
          </w:tcPr>
          <w:p>
            <w:pPr>
              <w:ind w:firstLine="560"/>
              <w:rPr>
                <w:b w:val="0"/>
                <w:bCs w:val="0"/>
              </w:rPr>
            </w:pPr>
            <w:r>
              <w:rPr>
                <w:rFonts w:hint="eastAsia"/>
                <w:b w:val="0"/>
                <w:bCs w:val="0"/>
              </w:rPr>
              <w:t>项</w:t>
            </w:r>
          </w:p>
        </w:tc>
        <w:tc>
          <w:tcPr>
            <w:tcW w:w="1276" w:type="dxa"/>
            <w:tcBorders>
              <w:top w:val="nil"/>
              <w:left w:val="nil"/>
              <w:bottom w:val="single" w:color="auto" w:sz="4" w:space="0"/>
              <w:right w:val="single" w:color="auto" w:sz="8" w:space="0"/>
            </w:tcBorders>
            <w:vAlign w:val="center"/>
          </w:tcPr>
          <w:p>
            <w:pPr>
              <w:ind w:firstLine="560"/>
              <w:rPr>
                <w:b w:val="0"/>
                <w:bCs w:val="0"/>
              </w:rPr>
            </w:pPr>
            <w:r>
              <w:rPr>
                <w:rFonts w:hint="eastAsia"/>
                <w:b w:val="0"/>
                <w:bCs w:val="0"/>
              </w:rPr>
              <w:t>2</w:t>
            </w:r>
          </w:p>
        </w:tc>
        <w:tc>
          <w:tcPr>
            <w:tcW w:w="1276" w:type="dxa"/>
            <w:tcBorders>
              <w:top w:val="nil"/>
              <w:left w:val="nil"/>
              <w:bottom w:val="single" w:color="auto" w:sz="4" w:space="0"/>
              <w:right w:val="single" w:color="auto" w:sz="8" w:space="0"/>
            </w:tcBorders>
            <w:vAlign w:val="center"/>
          </w:tcPr>
          <w:p>
            <w:pPr>
              <w:ind w:firstLine="560"/>
              <w:rPr>
                <w:b w:val="0"/>
                <w:bCs w:val="0"/>
              </w:rPr>
            </w:pPr>
          </w:p>
        </w:tc>
        <w:tc>
          <w:tcPr>
            <w:tcW w:w="1417" w:type="dxa"/>
            <w:tcBorders>
              <w:top w:val="nil"/>
              <w:left w:val="nil"/>
              <w:bottom w:val="single" w:color="auto" w:sz="4" w:space="0"/>
              <w:right w:val="single" w:color="auto" w:sz="8" w:space="0"/>
            </w:tcBorders>
          </w:tcPr>
          <w:p>
            <w:pPr>
              <w:ind w:firstLine="560"/>
              <w:rPr>
                <w:b w:val="0"/>
                <w:bCs w:val="0"/>
              </w:rPr>
            </w:pPr>
          </w:p>
        </w:tc>
        <w:tc>
          <w:tcPr>
            <w:tcW w:w="1276" w:type="dxa"/>
            <w:tcBorders>
              <w:top w:val="nil"/>
              <w:left w:val="nil"/>
              <w:bottom w:val="single" w:color="auto" w:sz="4" w:space="0"/>
              <w:right w:val="single" w:color="auto" w:sz="8" w:space="0"/>
            </w:tcBorders>
          </w:tcPr>
          <w:p>
            <w:pPr>
              <w:ind w:firstLine="560"/>
              <w:rPr>
                <w:b w:val="0"/>
                <w:bCs w:val="0"/>
              </w:rPr>
            </w:pPr>
          </w:p>
        </w:tc>
      </w:tr>
      <w:tr>
        <w:tblPrEx>
          <w:tblCellMar>
            <w:top w:w="0" w:type="dxa"/>
            <w:left w:w="108" w:type="dxa"/>
            <w:bottom w:w="0" w:type="dxa"/>
            <w:right w:w="108" w:type="dxa"/>
          </w:tblCellMar>
        </w:tblPrEx>
        <w:trPr>
          <w:cantSplit/>
          <w:trHeight w:val="369" w:hRule="atLeast"/>
        </w:trPr>
        <w:tc>
          <w:tcPr>
            <w:tcW w:w="1526" w:type="dxa"/>
            <w:tcBorders>
              <w:top w:val="nil"/>
              <w:left w:val="single" w:color="auto" w:sz="8" w:space="0"/>
              <w:bottom w:val="single" w:color="auto" w:sz="4" w:space="0"/>
              <w:right w:val="single" w:color="auto" w:sz="4" w:space="0"/>
            </w:tcBorders>
            <w:vAlign w:val="center"/>
          </w:tcPr>
          <w:p>
            <w:pPr>
              <w:ind w:firstLine="560"/>
              <w:rPr>
                <w:b w:val="0"/>
                <w:bCs w:val="0"/>
              </w:rPr>
            </w:pPr>
            <w:r>
              <w:rPr>
                <w:rFonts w:hint="eastAsia"/>
                <w:b w:val="0"/>
                <w:bCs w:val="0"/>
              </w:rPr>
              <w:t>8</w:t>
            </w:r>
          </w:p>
        </w:tc>
        <w:tc>
          <w:tcPr>
            <w:tcW w:w="2551" w:type="dxa"/>
            <w:tcBorders>
              <w:top w:val="nil"/>
              <w:left w:val="nil"/>
              <w:bottom w:val="single" w:color="auto" w:sz="4" w:space="0"/>
              <w:right w:val="single" w:color="auto" w:sz="4" w:space="0"/>
            </w:tcBorders>
            <w:vAlign w:val="center"/>
          </w:tcPr>
          <w:p>
            <w:pPr>
              <w:ind w:firstLine="560"/>
              <w:rPr>
                <w:b w:val="0"/>
                <w:bCs w:val="0"/>
              </w:rPr>
            </w:pPr>
            <w:r>
              <w:rPr>
                <w:rFonts w:hint="eastAsia"/>
                <w:b w:val="0"/>
                <w:bCs w:val="0"/>
              </w:rPr>
              <w:t>合计</w:t>
            </w:r>
          </w:p>
        </w:tc>
        <w:tc>
          <w:tcPr>
            <w:tcW w:w="1134" w:type="dxa"/>
            <w:tcBorders>
              <w:top w:val="nil"/>
              <w:left w:val="nil"/>
              <w:bottom w:val="single" w:color="auto" w:sz="4" w:space="0"/>
              <w:right w:val="single" w:color="auto" w:sz="4" w:space="0"/>
            </w:tcBorders>
            <w:vAlign w:val="center"/>
          </w:tcPr>
          <w:p>
            <w:pPr>
              <w:ind w:firstLine="560"/>
              <w:rPr>
                <w:b w:val="0"/>
                <w:bCs w:val="0"/>
              </w:rPr>
            </w:pPr>
          </w:p>
        </w:tc>
        <w:tc>
          <w:tcPr>
            <w:tcW w:w="1276" w:type="dxa"/>
            <w:tcBorders>
              <w:top w:val="nil"/>
              <w:left w:val="nil"/>
              <w:bottom w:val="single" w:color="auto" w:sz="4" w:space="0"/>
              <w:right w:val="single" w:color="auto" w:sz="8" w:space="0"/>
            </w:tcBorders>
            <w:vAlign w:val="center"/>
          </w:tcPr>
          <w:p>
            <w:pPr>
              <w:ind w:firstLine="560"/>
              <w:rPr>
                <w:b w:val="0"/>
                <w:bCs w:val="0"/>
              </w:rPr>
            </w:pPr>
          </w:p>
        </w:tc>
        <w:tc>
          <w:tcPr>
            <w:tcW w:w="1276" w:type="dxa"/>
            <w:tcBorders>
              <w:top w:val="nil"/>
              <w:left w:val="nil"/>
              <w:bottom w:val="single" w:color="auto" w:sz="4" w:space="0"/>
              <w:right w:val="single" w:color="auto" w:sz="8" w:space="0"/>
            </w:tcBorders>
            <w:vAlign w:val="center"/>
          </w:tcPr>
          <w:p>
            <w:pPr>
              <w:ind w:firstLine="560"/>
              <w:rPr>
                <w:b w:val="0"/>
                <w:bCs w:val="0"/>
              </w:rPr>
            </w:pPr>
          </w:p>
        </w:tc>
        <w:tc>
          <w:tcPr>
            <w:tcW w:w="1417" w:type="dxa"/>
            <w:tcBorders>
              <w:top w:val="nil"/>
              <w:left w:val="nil"/>
              <w:bottom w:val="single" w:color="auto" w:sz="4" w:space="0"/>
              <w:right w:val="single" w:color="auto" w:sz="8" w:space="0"/>
            </w:tcBorders>
          </w:tcPr>
          <w:p>
            <w:pPr>
              <w:ind w:firstLine="560"/>
              <w:rPr>
                <w:b w:val="0"/>
                <w:bCs w:val="0"/>
              </w:rPr>
            </w:pPr>
          </w:p>
        </w:tc>
        <w:tc>
          <w:tcPr>
            <w:tcW w:w="1276" w:type="dxa"/>
            <w:tcBorders>
              <w:top w:val="nil"/>
              <w:left w:val="nil"/>
              <w:bottom w:val="single" w:color="auto" w:sz="4" w:space="0"/>
              <w:right w:val="single" w:color="auto" w:sz="8" w:space="0"/>
            </w:tcBorders>
          </w:tcPr>
          <w:p>
            <w:pPr>
              <w:ind w:firstLine="560"/>
              <w:rPr>
                <w:b w:val="0"/>
                <w:bCs w:val="0"/>
              </w:rPr>
            </w:pPr>
          </w:p>
        </w:tc>
      </w:tr>
    </w:tbl>
    <w:p>
      <w:pPr>
        <w:pStyle w:val="24"/>
        <w:ind w:firstLine="361"/>
      </w:pPr>
    </w:p>
    <w:p>
      <w:pPr>
        <w:ind w:firstLine="560"/>
        <w:rPr>
          <w:b w:val="0"/>
          <w:bCs w:val="0"/>
        </w:rPr>
      </w:pPr>
      <w:r>
        <w:rPr>
          <w:rFonts w:hint="eastAsia"/>
          <w:b w:val="0"/>
          <w:bCs w:val="0"/>
        </w:rPr>
        <w:t>注：报价须包含配件费、人工费、上门费等一切含税费用，供应商不再另外收取费用。</w:t>
      </w:r>
    </w:p>
    <w:p>
      <w:pPr>
        <w:ind w:firstLine="560"/>
        <w:rPr>
          <w:b w:val="0"/>
          <w:bCs w:val="0"/>
        </w:rPr>
      </w:pPr>
      <w:r>
        <w:rPr>
          <w:rFonts w:hint="eastAsia"/>
          <w:b w:val="0"/>
          <w:bCs w:val="0"/>
        </w:rPr>
        <w:t>法定代表人或代理人（签字或盖章）：</w:t>
      </w:r>
    </w:p>
    <w:p>
      <w:pPr>
        <w:ind w:firstLine="560"/>
        <w:rPr>
          <w:b w:val="0"/>
          <w:bCs w:val="0"/>
        </w:rPr>
      </w:pPr>
      <w:r>
        <w:rPr>
          <w:rFonts w:hint="eastAsia"/>
          <w:b w:val="0"/>
          <w:bCs w:val="0"/>
        </w:rPr>
        <w:t>单位名称：</w:t>
      </w:r>
    </w:p>
    <w:p>
      <w:pPr>
        <w:ind w:firstLine="560"/>
        <w:rPr>
          <w:b w:val="0"/>
          <w:bCs w:val="0"/>
        </w:rPr>
      </w:pPr>
      <w:r>
        <w:rPr>
          <w:rFonts w:hint="eastAsia"/>
          <w:b w:val="0"/>
          <w:bCs w:val="0"/>
        </w:rPr>
        <w:t>报价日期：</w:t>
      </w:r>
    </w:p>
    <w:p>
      <w:pPr>
        <w:ind w:firstLine="560"/>
        <w:rPr>
          <w:b w:val="0"/>
          <w:bCs w:val="0"/>
          <w:lang w:val="zh-CN"/>
        </w:rPr>
      </w:pPr>
      <w:r>
        <w:rPr>
          <w:rFonts w:hint="eastAsia"/>
          <w:b w:val="0"/>
          <w:bCs w:val="0"/>
        </w:rPr>
        <w:t>采购内容及要求条款</w:t>
      </w:r>
      <w:r>
        <w:rPr>
          <w:rFonts w:hint="eastAsia"/>
          <w:b w:val="0"/>
          <w:bCs w:val="0"/>
          <w:lang w:val="zh-CN"/>
        </w:rPr>
        <w:t>偏离表格式</w:t>
      </w:r>
    </w:p>
    <w:p>
      <w:pPr>
        <w:ind w:firstLine="560"/>
        <w:rPr>
          <w:b w:val="0"/>
          <w:bCs w:val="0"/>
          <w:lang w:val="zh-CN"/>
        </w:rPr>
      </w:pPr>
      <w:r>
        <w:rPr>
          <w:rFonts w:hint="eastAsia"/>
          <w:b w:val="0"/>
          <w:bCs w:val="0"/>
          <w:lang w:val="zh-CN"/>
        </w:rPr>
        <w:t>采购内容及要求条款偏离表</w:t>
      </w:r>
    </w:p>
    <w:tbl>
      <w:tblPr>
        <w:tblStyle w:val="16"/>
        <w:tblW w:w="11238" w:type="dxa"/>
        <w:jc w:val="center"/>
        <w:tblLayout w:type="fixed"/>
        <w:tblCellMar>
          <w:top w:w="0" w:type="dxa"/>
          <w:left w:w="0" w:type="dxa"/>
          <w:bottom w:w="0" w:type="dxa"/>
          <w:right w:w="0" w:type="dxa"/>
        </w:tblCellMar>
      </w:tblPr>
      <w:tblGrid>
        <w:gridCol w:w="719"/>
        <w:gridCol w:w="1997"/>
        <w:gridCol w:w="3682"/>
        <w:gridCol w:w="365"/>
        <w:gridCol w:w="1495"/>
        <w:gridCol w:w="1444"/>
        <w:gridCol w:w="476"/>
        <w:gridCol w:w="1060"/>
      </w:tblGrid>
      <w:tr>
        <w:tblPrEx>
          <w:tblCellMar>
            <w:top w:w="0" w:type="dxa"/>
            <w:left w:w="0" w:type="dxa"/>
            <w:bottom w:w="0" w:type="dxa"/>
            <w:right w:w="0" w:type="dxa"/>
          </w:tblCellMar>
        </w:tblPrEx>
        <w:trPr>
          <w:trHeight w:val="340" w:hRule="atLeast"/>
          <w:jc w:val="center"/>
        </w:trPr>
        <w:tc>
          <w:tcPr>
            <w:tcW w:w="6763" w:type="dxa"/>
            <w:gridSpan w:val="4"/>
            <w:tcBorders>
              <w:top w:val="nil"/>
              <w:left w:val="nil"/>
              <w:bottom w:val="single" w:color="auto" w:sz="6" w:space="0"/>
              <w:right w:val="nil"/>
            </w:tcBorders>
            <w:vAlign w:val="center"/>
          </w:tcPr>
          <w:p>
            <w:pPr>
              <w:ind w:firstLine="560"/>
              <w:rPr>
                <w:b w:val="0"/>
                <w:bCs w:val="0"/>
                <w:lang w:val="zh-CN"/>
              </w:rPr>
            </w:pPr>
            <w:r>
              <w:rPr>
                <w:rFonts w:hint="eastAsia"/>
                <w:b w:val="0"/>
                <w:bCs w:val="0"/>
                <w:lang w:val="zh-CN"/>
              </w:rPr>
              <w:t>项目名称：</w:t>
            </w:r>
          </w:p>
        </w:tc>
        <w:tc>
          <w:tcPr>
            <w:tcW w:w="2939" w:type="dxa"/>
            <w:gridSpan w:val="2"/>
            <w:tcBorders>
              <w:top w:val="nil"/>
              <w:left w:val="nil"/>
              <w:bottom w:val="single" w:color="auto" w:sz="6" w:space="0"/>
              <w:right w:val="nil"/>
            </w:tcBorders>
            <w:vAlign w:val="center"/>
          </w:tcPr>
          <w:p>
            <w:pPr>
              <w:ind w:firstLine="560"/>
              <w:rPr>
                <w:b w:val="0"/>
                <w:bCs w:val="0"/>
                <w:lang w:val="zh-CN"/>
              </w:rPr>
            </w:pPr>
          </w:p>
        </w:tc>
        <w:tc>
          <w:tcPr>
            <w:tcW w:w="1536" w:type="dxa"/>
            <w:gridSpan w:val="2"/>
            <w:tcBorders>
              <w:top w:val="nil"/>
              <w:left w:val="nil"/>
              <w:bottom w:val="single" w:color="auto" w:sz="6" w:space="0"/>
              <w:right w:val="nil"/>
            </w:tcBorders>
            <w:vAlign w:val="center"/>
          </w:tcPr>
          <w:p>
            <w:pPr>
              <w:ind w:firstLine="560"/>
              <w:rPr>
                <w:b w:val="0"/>
                <w:bCs w:val="0"/>
                <w:lang w:val="zh-CN"/>
              </w:rPr>
            </w:pPr>
          </w:p>
          <w:p>
            <w:pPr>
              <w:ind w:firstLine="560"/>
              <w:rPr>
                <w:b w:val="0"/>
                <w:bCs w:val="0"/>
                <w:kern w:val="0"/>
                <w:lang w:val="zh-CN"/>
              </w:rPr>
            </w:pPr>
            <w:r>
              <w:rPr>
                <w:rFonts w:hint="eastAsia"/>
                <w:b w:val="0"/>
                <w:bCs w:val="0"/>
                <w:kern w:val="0"/>
                <w:lang w:val="zh-CN"/>
              </w:rPr>
              <w:t>项目编号：</w:t>
            </w:r>
            <w:r>
              <w:rPr>
                <w:rFonts w:hint="eastAsia"/>
                <w:b w:val="0"/>
                <w:bCs w:val="0"/>
                <w:lang w:val="zh-CN"/>
              </w:rPr>
              <w:t xml:space="preserve">              </w:t>
            </w: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r>
              <w:rPr>
                <w:rFonts w:hint="eastAsia"/>
                <w:b w:val="0"/>
                <w:bCs w:val="0"/>
                <w:lang w:val="zh-CN"/>
              </w:rPr>
              <w:t>序号</w:t>
            </w: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r>
              <w:rPr>
                <w:rFonts w:hint="eastAsia"/>
                <w:b w:val="0"/>
                <w:bCs w:val="0"/>
                <w:lang w:val="zh-CN"/>
              </w:rPr>
              <w:t>询价文件条目号</w:t>
            </w: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r>
              <w:rPr>
                <w:rFonts w:hint="eastAsia"/>
                <w:b w:val="0"/>
                <w:bCs w:val="0"/>
                <w:lang w:val="zh-CN"/>
              </w:rPr>
              <w:t>询价要求</w:t>
            </w: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rPr>
            </w:pPr>
            <w:r>
              <w:rPr>
                <w:rFonts w:hint="eastAsia"/>
                <w:b w:val="0"/>
                <w:bCs w:val="0"/>
                <w:lang w:val="zh-CN"/>
              </w:rPr>
              <w:t>供应商响应</w:t>
            </w:r>
            <w:r>
              <w:rPr>
                <w:rFonts w:hint="eastAsia"/>
                <w:b w:val="0"/>
                <w:bCs w:val="0"/>
              </w:rPr>
              <w:t>/偏离</w:t>
            </w: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r>
              <w:rPr>
                <w:rFonts w:hint="eastAsia"/>
                <w:b w:val="0"/>
                <w:bCs w:val="0"/>
                <w:lang w:val="zh-CN"/>
              </w:rPr>
              <w:t>说明</w:t>
            </w: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r>
              <w:rPr>
                <w:rFonts w:hint="eastAsia"/>
                <w:b w:val="0"/>
                <w:bCs w:val="0"/>
                <w:lang w:val="zh-CN"/>
              </w:rPr>
              <w:t>证明材料对应页码</w:t>
            </w:r>
          </w:p>
        </w:tc>
      </w:tr>
      <w:tr>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r>
              <w:rPr>
                <w:rFonts w:hint="eastAsia"/>
                <w:b w:val="0"/>
                <w:bCs w:val="0"/>
              </w:rPr>
              <w:t>1</w:t>
            </w:r>
          </w:p>
        </w:tc>
        <w:tc>
          <w:tcPr>
            <w:tcW w:w="1997" w:type="dxa"/>
            <w:tcBorders>
              <w:top w:val="single" w:color="auto" w:sz="6" w:space="0"/>
              <w:left w:val="single" w:color="auto" w:sz="6" w:space="0"/>
              <w:bottom w:val="single" w:color="auto" w:sz="6" w:space="0"/>
              <w:right w:val="single" w:color="auto" w:sz="6" w:space="0"/>
            </w:tcBorders>
            <w:vAlign w:val="center"/>
          </w:tcPr>
          <w:p>
            <w:pPr>
              <w:ind w:left="0" w:leftChars="0" w:firstLine="0" w:firstLineChars="0"/>
              <w:rPr>
                <w:rFonts w:hint="eastAsia"/>
                <w:lang w:val="en-US" w:eastAsia="zh-CN"/>
              </w:rPr>
            </w:pPr>
            <w:r>
              <w:rPr>
                <w:rFonts w:hint="eastAsia"/>
                <w:b w:val="0"/>
                <w:bCs w:val="0"/>
                <w:lang w:val="en-US" w:eastAsia="zh-CN"/>
              </w:rPr>
              <w:t>包一：</w:t>
            </w:r>
            <w:r>
              <w:rPr>
                <w:rFonts w:hint="eastAsia"/>
                <w:b w:val="0"/>
                <w:bCs w:val="0"/>
              </w:rPr>
              <w:t>服务标准及要求</w:t>
            </w:r>
            <w:r>
              <w:rPr>
                <w:rFonts w:hint="eastAsia"/>
                <w:b w:val="0"/>
                <w:bCs w:val="0"/>
                <w:lang w:eastAsia="zh-CN"/>
              </w:rPr>
              <w:t>，</w:t>
            </w:r>
            <w:r>
              <w:rPr>
                <w:rFonts w:hint="eastAsia"/>
                <w:b w:val="0"/>
                <w:bCs w:val="0"/>
                <w:lang w:val="en-US" w:eastAsia="zh-CN"/>
              </w:rPr>
              <w:t>请根据采购文件要求逐条列举并逐条响应，行数不够自行增加。</w:t>
            </w:r>
          </w:p>
          <w:p>
            <w:pPr>
              <w:ind w:left="0" w:leftChars="0" w:firstLine="0" w:firstLineChars="0"/>
              <w:rPr>
                <w:rFonts w:hint="default"/>
                <w:lang w:val="en-US" w:eastAsia="zh-CN"/>
              </w:rPr>
            </w:pPr>
            <w:r>
              <w:rPr>
                <w:rFonts w:hint="eastAsia"/>
                <w:b w:val="0"/>
                <w:bCs w:val="0"/>
                <w:lang w:val="en-US" w:eastAsia="zh-CN"/>
              </w:rPr>
              <w:t>包二：</w:t>
            </w:r>
            <w:r>
              <w:rPr>
                <w:rFonts w:hint="eastAsia"/>
                <w:b w:val="0"/>
                <w:bCs w:val="0"/>
              </w:rPr>
              <w:t>服务期限</w:t>
            </w:r>
            <w:r>
              <w:rPr>
                <w:rFonts w:hint="eastAsia"/>
                <w:b w:val="0"/>
                <w:bCs w:val="0"/>
                <w:lang w:eastAsia="zh-CN"/>
              </w:rPr>
              <w:t>、</w:t>
            </w:r>
            <w:r>
              <w:rPr>
                <w:rFonts w:hint="eastAsia"/>
                <w:b w:val="0"/>
                <w:bCs w:val="0"/>
              </w:rPr>
              <w:t>时间要求</w:t>
            </w:r>
            <w:r>
              <w:rPr>
                <w:rFonts w:hint="eastAsia"/>
                <w:b w:val="0"/>
                <w:bCs w:val="0"/>
                <w:lang w:eastAsia="zh-CN"/>
              </w:rPr>
              <w:t>、</w:t>
            </w:r>
            <w:r>
              <w:rPr>
                <w:rFonts w:hint="eastAsia"/>
                <w:b w:val="0"/>
                <w:bCs w:val="0"/>
              </w:rPr>
              <w:t>工程质量、安全要求</w:t>
            </w:r>
            <w:r>
              <w:rPr>
                <w:rFonts w:hint="eastAsia"/>
                <w:b w:val="0"/>
                <w:bCs w:val="0"/>
                <w:lang w:eastAsia="zh-CN"/>
              </w:rPr>
              <w:t>，</w:t>
            </w:r>
            <w:r>
              <w:rPr>
                <w:rFonts w:hint="eastAsia"/>
                <w:b w:val="0"/>
                <w:bCs w:val="0"/>
                <w:lang w:val="en-US" w:eastAsia="zh-CN"/>
              </w:rPr>
              <w:t>请根据采购文件要求逐条列举并逐条响应，行数不够自行增加。</w:t>
            </w:r>
          </w:p>
          <w:p>
            <w:pPr>
              <w:ind w:left="0" w:leftChars="0" w:firstLine="0" w:firstLineChars="0"/>
              <w:rPr>
                <w:b w:val="0"/>
                <w:bCs w:val="0"/>
                <w:lang w:val="zh-CN"/>
              </w:rPr>
            </w:pPr>
            <w:bookmarkStart w:id="23" w:name="_GoBack"/>
            <w:bookmarkEnd w:id="23"/>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r>
              <w:rPr>
                <w:rFonts w:hint="eastAsia"/>
                <w:b w:val="0"/>
                <w:bCs w:val="0"/>
              </w:rPr>
              <w:t>2</w:t>
            </w: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r>
              <w:rPr>
                <w:rFonts w:hint="eastAsia"/>
                <w:b w:val="0"/>
                <w:bCs w:val="0"/>
              </w:rPr>
              <w:t>3</w:t>
            </w: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r>
              <w:rPr>
                <w:rFonts w:hint="eastAsia"/>
                <w:b w:val="0"/>
                <w:bCs w:val="0"/>
              </w:rPr>
              <w:t>4</w:t>
            </w: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r>
              <w:rPr>
                <w:rFonts w:hint="eastAsia"/>
                <w:b w:val="0"/>
                <w:bCs w:val="0"/>
              </w:rPr>
              <w:t>5</w:t>
            </w: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r>
              <w:rPr>
                <w:rFonts w:hint="eastAsia"/>
                <w:b w:val="0"/>
                <w:bCs w:val="0"/>
              </w:rPr>
              <w:t>6</w:t>
            </w: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r>
              <w:rPr>
                <w:rFonts w:hint="eastAsia"/>
                <w:b w:val="0"/>
                <w:bCs w:val="0"/>
              </w:rPr>
              <w:t>7</w:t>
            </w: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11"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r>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pPr>
              <w:ind w:firstLine="560"/>
              <w:rPr>
                <w:b w:val="0"/>
                <w:bCs w:val="0"/>
              </w:rPr>
            </w:pPr>
          </w:p>
        </w:tc>
        <w:tc>
          <w:tcPr>
            <w:tcW w:w="1997"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3682"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86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920" w:type="dxa"/>
            <w:gridSpan w:val="2"/>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c>
          <w:tcPr>
            <w:tcW w:w="1060" w:type="dxa"/>
            <w:tcBorders>
              <w:top w:val="single" w:color="auto" w:sz="6" w:space="0"/>
              <w:left w:val="single" w:color="auto" w:sz="6" w:space="0"/>
              <w:bottom w:val="single" w:color="auto" w:sz="6" w:space="0"/>
              <w:right w:val="single" w:color="auto" w:sz="6" w:space="0"/>
            </w:tcBorders>
            <w:vAlign w:val="center"/>
          </w:tcPr>
          <w:p>
            <w:pPr>
              <w:ind w:firstLine="560"/>
              <w:rPr>
                <w:b w:val="0"/>
                <w:bCs w:val="0"/>
                <w:lang w:val="zh-CN"/>
              </w:rPr>
            </w:pPr>
          </w:p>
        </w:tc>
      </w:tr>
    </w:tbl>
    <w:p>
      <w:pPr>
        <w:ind w:firstLine="560"/>
        <w:rPr>
          <w:b w:val="0"/>
          <w:bCs w:val="0"/>
          <w:lang w:val="zh-CN"/>
        </w:rPr>
      </w:pPr>
      <w:r>
        <w:rPr>
          <w:rFonts w:hint="eastAsia"/>
          <w:b w:val="0"/>
          <w:bCs w:val="0"/>
          <w:lang w:val="zh-CN"/>
        </w:rPr>
        <w:t>供应商名称：                                                      （盖章）</w:t>
      </w:r>
    </w:p>
    <w:p>
      <w:pPr>
        <w:ind w:firstLine="560"/>
        <w:rPr>
          <w:b w:val="0"/>
          <w:bCs w:val="0"/>
          <w:color w:val="91ACE0" w:themeColor="accent1" w:themeTint="99"/>
          <w:lang w:val="zh-CN"/>
          <w14:textFill>
            <w14:solidFill>
              <w14:schemeClr w14:val="accent1">
                <w14:lumMod w14:val="60000"/>
                <w14:lumOff w14:val="40000"/>
              </w14:schemeClr>
            </w14:solidFill>
          </w14:textFill>
        </w:rPr>
      </w:pPr>
      <w:r>
        <w:rPr>
          <w:rFonts w:hint="eastAsia"/>
          <w:b w:val="0"/>
          <w:bCs w:val="0"/>
          <w:lang w:val="zh-CN"/>
        </w:rPr>
        <w:t>说明：如果行数不够，请自行增加。请供应商对招标文件内的技术条款进行逐条响应</w:t>
      </w:r>
      <w:r>
        <w:rPr>
          <w:rFonts w:hint="eastAsia"/>
          <w:b w:val="0"/>
          <w:bCs w:val="0"/>
        </w:rPr>
        <w:t>/正偏离/负偏离，不得缺陷漏项</w:t>
      </w:r>
      <w:r>
        <w:rPr>
          <w:rFonts w:hint="eastAsia"/>
          <w:b w:val="0"/>
          <w:bCs w:val="0"/>
          <w:lang w:val="zh-CN"/>
        </w:rPr>
        <w:t>。</w:t>
      </w:r>
    </w:p>
    <w:p>
      <w:pPr>
        <w:ind w:firstLine="560"/>
        <w:rPr>
          <w:b w:val="0"/>
          <w:bCs w:val="0"/>
          <w:lang w:val="zh-CN"/>
        </w:rPr>
      </w:pPr>
    </w:p>
    <w:p>
      <w:pPr>
        <w:ind w:firstLine="560"/>
        <w:rPr>
          <w:b w:val="0"/>
          <w:bCs w:val="0"/>
        </w:rPr>
      </w:pPr>
    </w:p>
    <w:p>
      <w:pPr>
        <w:ind w:firstLine="560"/>
        <w:rPr>
          <w:b w:val="0"/>
          <w:bCs w:val="0"/>
        </w:rPr>
      </w:pPr>
    </w:p>
    <w:p>
      <w:pPr>
        <w:ind w:firstLine="560"/>
        <w:rPr>
          <w:b w:val="0"/>
          <w:bCs w:val="0"/>
        </w:rPr>
      </w:pPr>
    </w:p>
    <w:p>
      <w:pPr>
        <w:ind w:firstLine="560"/>
        <w:rPr>
          <w:b w:val="0"/>
          <w:bCs w:val="0"/>
        </w:rPr>
      </w:pPr>
    </w:p>
    <w:p>
      <w:pPr>
        <w:pStyle w:val="20"/>
        <w:spacing w:line="560" w:lineRule="exact"/>
        <w:rPr>
          <w:rFonts w:ascii="黑体" w:hAnsi="黑体" w:eastAsia="黑体" w:cs="宋体"/>
          <w:sz w:val="28"/>
          <w:szCs w:val="28"/>
        </w:rPr>
      </w:pPr>
    </w:p>
    <w:p>
      <w:pPr>
        <w:pStyle w:val="20"/>
        <w:spacing w:line="560" w:lineRule="exact"/>
        <w:rPr>
          <w:rFonts w:ascii="黑体" w:hAnsi="黑体" w:eastAsia="黑体" w:cs="宋体"/>
          <w:sz w:val="28"/>
          <w:szCs w:val="28"/>
        </w:rPr>
      </w:pPr>
    </w:p>
    <w:p>
      <w:pPr>
        <w:pStyle w:val="20"/>
        <w:spacing w:line="560" w:lineRule="exact"/>
        <w:rPr>
          <w:rFonts w:ascii="黑体" w:hAnsi="黑体" w:eastAsia="黑体" w:cs="宋体"/>
          <w:sz w:val="28"/>
          <w:szCs w:val="28"/>
        </w:rPr>
      </w:pPr>
    </w:p>
    <w:p>
      <w:pPr>
        <w:pStyle w:val="20"/>
        <w:spacing w:line="560" w:lineRule="exact"/>
        <w:rPr>
          <w:rFonts w:ascii="黑体" w:hAnsi="黑体" w:eastAsia="黑体" w:cs="宋体"/>
          <w:sz w:val="28"/>
          <w:szCs w:val="28"/>
        </w:rPr>
      </w:pPr>
    </w:p>
    <w:p>
      <w:pPr>
        <w:pStyle w:val="20"/>
        <w:spacing w:line="560" w:lineRule="exact"/>
        <w:rPr>
          <w:rFonts w:ascii="黑体" w:hAnsi="黑体" w:eastAsia="黑体" w:cs="宋体"/>
          <w:sz w:val="28"/>
          <w:szCs w:val="28"/>
        </w:rPr>
      </w:pPr>
    </w:p>
    <w:p>
      <w:pPr>
        <w:pStyle w:val="20"/>
        <w:spacing w:line="560" w:lineRule="exact"/>
        <w:rPr>
          <w:rFonts w:ascii="黑体" w:hAnsi="黑体" w:eastAsia="黑体" w:cs="宋体"/>
          <w:sz w:val="28"/>
          <w:szCs w:val="28"/>
        </w:rPr>
      </w:pPr>
      <w:r>
        <w:rPr>
          <w:rFonts w:hint="eastAsia" w:ascii="黑体" w:hAnsi="黑体" w:eastAsia="黑体" w:cs="宋体"/>
          <w:sz w:val="28"/>
          <w:szCs w:val="28"/>
        </w:rPr>
        <w:t>附件2：拟签订合同文本（供参考）</w:t>
      </w:r>
    </w:p>
    <w:tbl>
      <w:tblPr>
        <w:tblStyle w:val="16"/>
        <w:tblW w:w="0" w:type="auto"/>
        <w:jc w:val="center"/>
        <w:tblLayout w:type="fixed"/>
        <w:tblCellMar>
          <w:top w:w="0" w:type="dxa"/>
          <w:left w:w="108" w:type="dxa"/>
          <w:bottom w:w="0" w:type="dxa"/>
          <w:right w:w="108" w:type="dxa"/>
        </w:tblCellMar>
      </w:tblPr>
      <w:tblGrid>
        <w:gridCol w:w="3685"/>
        <w:gridCol w:w="4098"/>
      </w:tblGrid>
      <w:tr>
        <w:tblPrEx>
          <w:tblCellMar>
            <w:top w:w="0" w:type="dxa"/>
            <w:left w:w="108" w:type="dxa"/>
            <w:bottom w:w="0" w:type="dxa"/>
            <w:right w:w="108" w:type="dxa"/>
          </w:tblCellMar>
        </w:tblPrEx>
        <w:trPr>
          <w:jc w:val="center"/>
        </w:trPr>
        <w:tc>
          <w:tcPr>
            <w:tcW w:w="3685" w:type="dxa"/>
            <w:tcBorders>
              <w:bottom w:val="single" w:color="000000" w:sz="4" w:space="0"/>
            </w:tcBorders>
            <w:vAlign w:val="bottom"/>
          </w:tcPr>
          <w:p>
            <w:pPr>
              <w:ind w:firstLine="560"/>
              <w:rPr>
                <w:b w:val="0"/>
                <w:bCs w:val="0"/>
              </w:rPr>
            </w:pPr>
            <w:r>
              <w:rPr>
                <w:rFonts w:hint="eastAsia"/>
                <w:b w:val="0"/>
                <w:bCs w:val="0"/>
              </w:rPr>
              <w:t>南京市溧水区人民医院</w:t>
            </w:r>
          </w:p>
        </w:tc>
        <w:tc>
          <w:tcPr>
            <w:tcW w:w="4098" w:type="dxa"/>
            <w:vMerge w:val="restart"/>
          </w:tcPr>
          <w:p>
            <w:pPr>
              <w:ind w:firstLine="560"/>
              <w:rPr>
                <w:b w:val="0"/>
                <w:bCs w:val="0"/>
              </w:rPr>
            </w:pPr>
            <w:r>
              <w:rPr>
                <w:rFonts w:hint="eastAsia"/>
                <w:b w:val="0"/>
                <w:bCs w:val="0"/>
              </w:rPr>
              <w:t>采购合同</w:t>
            </w:r>
          </w:p>
        </w:tc>
      </w:tr>
      <w:tr>
        <w:tblPrEx>
          <w:tblCellMar>
            <w:top w:w="0" w:type="dxa"/>
            <w:left w:w="108" w:type="dxa"/>
            <w:bottom w:w="0" w:type="dxa"/>
            <w:right w:w="108" w:type="dxa"/>
          </w:tblCellMar>
        </w:tblPrEx>
        <w:trPr>
          <w:jc w:val="center"/>
        </w:trPr>
        <w:tc>
          <w:tcPr>
            <w:tcW w:w="3685" w:type="dxa"/>
            <w:tcBorders>
              <w:top w:val="single" w:color="000000" w:sz="4" w:space="0"/>
            </w:tcBorders>
          </w:tcPr>
          <w:p>
            <w:pPr>
              <w:ind w:firstLine="560"/>
              <w:rPr>
                <w:b w:val="0"/>
                <w:bCs w:val="0"/>
              </w:rPr>
            </w:pPr>
            <w:r>
              <w:rPr>
                <w:rFonts w:hint="eastAsia"/>
                <w:b w:val="0"/>
                <w:bCs w:val="0"/>
              </w:rPr>
              <w:t>东南大学附属中大医院溧水分院</w:t>
            </w:r>
          </w:p>
        </w:tc>
        <w:tc>
          <w:tcPr>
            <w:tcW w:w="4098" w:type="dxa"/>
            <w:vMerge w:val="continue"/>
          </w:tcPr>
          <w:p>
            <w:pPr>
              <w:ind w:firstLine="560"/>
              <w:rPr>
                <w:b w:val="0"/>
                <w:bCs w:val="0"/>
              </w:rPr>
            </w:pPr>
          </w:p>
        </w:tc>
      </w:tr>
    </w:tbl>
    <w:p>
      <w:pPr>
        <w:ind w:firstLine="560"/>
        <w:rPr>
          <w:b w:val="0"/>
          <w:bCs w:val="0"/>
        </w:rPr>
      </w:pPr>
    </w:p>
    <w:tbl>
      <w:tblPr>
        <w:tblStyle w:val="16"/>
        <w:tblpPr w:leftFromText="180" w:rightFromText="180" w:vertAnchor="text" w:horzAnchor="page" w:tblpX="1554" w:tblpY="94"/>
        <w:tblOverlap w:val="never"/>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tcPr>
          <w:p>
            <w:pPr>
              <w:ind w:firstLine="560"/>
              <w:rPr>
                <w:b w:val="0"/>
                <w:bCs w:val="0"/>
              </w:rPr>
            </w:pPr>
            <w:r>
              <w:rPr>
                <w:rFonts w:hint="eastAsia"/>
                <w:b w:val="0"/>
                <w:bCs w:val="0"/>
              </w:rPr>
              <w:t>甲  方：南京市溧水区人民医院</w:t>
            </w:r>
          </w:p>
        </w:tc>
        <w:tc>
          <w:tcPr>
            <w:tcW w:w="4643" w:type="dxa"/>
            <w:tcBorders>
              <w:top w:val="nil"/>
              <w:left w:val="nil"/>
              <w:bottom w:val="nil"/>
              <w:right w:val="nil"/>
            </w:tcBorders>
          </w:tcPr>
          <w:p>
            <w:pPr>
              <w:ind w:firstLine="560"/>
              <w:rPr>
                <w:b w:val="0"/>
                <w:bCs w:val="0"/>
              </w:rPr>
            </w:pPr>
            <w:r>
              <w:rPr>
                <w:rFonts w:hint="eastAsia"/>
                <w:b w:val="0"/>
                <w:bCs w:val="0"/>
              </w:rPr>
              <w:t>乙  方：</w:t>
            </w:r>
          </w:p>
        </w:tc>
      </w:tr>
      <w:tr>
        <w:tblPrEx>
          <w:tblCellMar>
            <w:top w:w="0" w:type="dxa"/>
            <w:left w:w="108" w:type="dxa"/>
            <w:bottom w:w="0" w:type="dxa"/>
            <w:right w:w="108" w:type="dxa"/>
          </w:tblCellMar>
        </w:tblPrEx>
        <w:tc>
          <w:tcPr>
            <w:tcW w:w="4643" w:type="dxa"/>
            <w:tcBorders>
              <w:top w:val="nil"/>
              <w:left w:val="nil"/>
              <w:bottom w:val="nil"/>
              <w:right w:val="nil"/>
            </w:tcBorders>
          </w:tcPr>
          <w:p>
            <w:pPr>
              <w:ind w:firstLine="560"/>
              <w:rPr>
                <w:b w:val="0"/>
                <w:bCs w:val="0"/>
              </w:rPr>
            </w:pPr>
            <w:r>
              <w:rPr>
                <w:rFonts w:hint="eastAsia"/>
                <w:b w:val="0"/>
                <w:bCs w:val="0"/>
              </w:rPr>
              <w:t xml:space="preserve">住所地：南京市溧水区永阳镇崇文路86号         </w:t>
            </w:r>
          </w:p>
        </w:tc>
        <w:tc>
          <w:tcPr>
            <w:tcW w:w="4643" w:type="dxa"/>
            <w:tcBorders>
              <w:top w:val="nil"/>
              <w:left w:val="nil"/>
              <w:bottom w:val="nil"/>
              <w:right w:val="nil"/>
            </w:tcBorders>
          </w:tcPr>
          <w:p>
            <w:pPr>
              <w:ind w:firstLine="560"/>
              <w:rPr>
                <w:b w:val="0"/>
                <w:bCs w:val="0"/>
              </w:rPr>
            </w:pPr>
            <w:r>
              <w:rPr>
                <w:rFonts w:hint="eastAsia"/>
                <w:b w:val="0"/>
                <w:bCs w:val="0"/>
              </w:rPr>
              <w:t>住所地：</w:t>
            </w:r>
          </w:p>
        </w:tc>
      </w:tr>
    </w:tbl>
    <w:p>
      <w:pPr>
        <w:ind w:firstLine="560"/>
        <w:rPr>
          <w:b w:val="0"/>
          <w:bCs w:val="0"/>
        </w:rPr>
      </w:pPr>
    </w:p>
    <w:p>
      <w:pPr>
        <w:ind w:firstLine="560"/>
        <w:rPr>
          <w:b w:val="0"/>
          <w:bCs w:val="0"/>
        </w:rPr>
      </w:pPr>
    </w:p>
    <w:p>
      <w:pPr>
        <w:ind w:firstLine="560"/>
        <w:rPr>
          <w:b w:val="0"/>
          <w:bCs w:val="0"/>
        </w:rPr>
      </w:pPr>
    </w:p>
    <w:p>
      <w:pPr>
        <w:ind w:firstLine="560"/>
        <w:rPr>
          <w:b w:val="0"/>
          <w:bCs w:val="0"/>
        </w:rPr>
      </w:pPr>
      <w:r>
        <w:rPr>
          <w:rFonts w:hint="eastAsia"/>
          <w:b w:val="0"/>
          <w:bCs w:val="0"/>
        </w:rPr>
        <w:t>根据《中华人民共和国政府采购法》、《中华人民共和国民法典》等法律法规的规定，甲乙双方经过友好协商，按照甲方202年月日项目编号</w:t>
      </w:r>
      <w:r>
        <w:rPr>
          <w:rFonts w:hint="eastAsia" w:eastAsia="宋体"/>
          <w:b w:val="0"/>
          <w:bCs w:val="0"/>
        </w:rPr>
        <w:t>为的询价</w:t>
      </w:r>
      <w:r>
        <w:rPr>
          <w:rFonts w:hint="eastAsia"/>
          <w:b w:val="0"/>
          <w:bCs w:val="0"/>
        </w:rPr>
        <w:t>结果签订本合同，承诺共同信守。</w:t>
      </w:r>
    </w:p>
    <w:p>
      <w:pPr>
        <w:pStyle w:val="21"/>
        <w:ind w:firstLine="560"/>
        <w:rPr>
          <w:b/>
          <w:bCs/>
        </w:rPr>
      </w:pPr>
      <w:r>
        <w:rPr>
          <w:rFonts w:hint="eastAsia"/>
          <w:b/>
          <w:bCs/>
        </w:rPr>
        <w:t xml:space="preserve">第一条 合同标的 </w:t>
      </w:r>
    </w:p>
    <w:p>
      <w:pPr>
        <w:ind w:firstLine="560"/>
        <w:rPr>
          <w:rFonts w:hint="eastAsia"/>
          <w:b w:val="0"/>
          <w:bCs w:val="0"/>
        </w:rPr>
      </w:pPr>
      <w:r>
        <w:rPr>
          <w:rFonts w:hint="eastAsia"/>
          <w:b w:val="0"/>
          <w:bCs w:val="0"/>
        </w:rPr>
        <w:t>乙方根据甲方要求提供下列产品（服务）：</w:t>
      </w:r>
    </w:p>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预防性试验项目（包含，但不限于）</w:t>
      </w:r>
    </w:p>
    <w:tbl>
      <w:tblPr>
        <w:tblStyle w:val="16"/>
        <w:tblW w:w="102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10"/>
        <w:gridCol w:w="4166"/>
        <w:gridCol w:w="5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010" w:type="dxa"/>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left="0" w:leftChars="0" w:firstLine="0" w:firstLineChars="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序号</w:t>
            </w:r>
          </w:p>
        </w:tc>
        <w:tc>
          <w:tcPr>
            <w:tcW w:w="4166" w:type="dxa"/>
            <w:tcBorders>
              <w:top w:val="single" w:color="auto" w:sz="6" w:space="0"/>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测试方式</w:t>
            </w:r>
          </w:p>
        </w:tc>
        <w:tc>
          <w:tcPr>
            <w:tcW w:w="5118" w:type="dxa"/>
            <w:tcBorders>
              <w:top w:val="single" w:color="auto" w:sz="6" w:space="0"/>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测试内容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010" w:type="dxa"/>
            <w:tcBorders>
              <w:top w:val="nil"/>
              <w:left w:val="single" w:color="auto" w:sz="6" w:space="0"/>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w:t>
            </w:r>
          </w:p>
        </w:tc>
        <w:tc>
          <w:tcPr>
            <w:tcW w:w="4166" w:type="dxa"/>
            <w:tcBorders>
              <w:top w:val="nil"/>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10KV变压器预防性试验</w:t>
            </w:r>
          </w:p>
        </w:tc>
        <w:tc>
          <w:tcPr>
            <w:tcW w:w="5118" w:type="dxa"/>
            <w:tcBorders>
              <w:top w:val="nil"/>
              <w:left w:val="nil"/>
              <w:bottom w:val="single" w:color="auto" w:sz="6" w:space="0"/>
              <w:right w:val="single" w:color="auto" w:sz="6" w:space="0"/>
            </w:tcBorders>
            <w:noWrap w:val="0"/>
            <w:tcMar>
              <w:left w:w="105" w:type="dxa"/>
              <w:right w:w="105" w:type="dxa"/>
            </w:tcMar>
            <w:vAlign w:val="top"/>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1、绝缘测试；</w:t>
            </w:r>
          </w:p>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2、交流耐压测试；</w:t>
            </w:r>
          </w:p>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3、直流电阻测试。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1010" w:type="dxa"/>
            <w:tcBorders>
              <w:top w:val="nil"/>
              <w:left w:val="single" w:color="auto" w:sz="6" w:space="0"/>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w:t>
            </w:r>
          </w:p>
        </w:tc>
        <w:tc>
          <w:tcPr>
            <w:tcW w:w="4166" w:type="dxa"/>
            <w:tcBorders>
              <w:top w:val="nil"/>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10KV断路器预防性试验</w:t>
            </w:r>
          </w:p>
        </w:tc>
        <w:tc>
          <w:tcPr>
            <w:tcW w:w="5118" w:type="dxa"/>
            <w:tcBorders>
              <w:top w:val="nil"/>
              <w:left w:val="nil"/>
              <w:bottom w:val="single" w:color="auto" w:sz="6" w:space="0"/>
              <w:right w:val="single" w:color="auto" w:sz="6" w:space="0"/>
            </w:tcBorders>
            <w:noWrap w:val="0"/>
            <w:tcMar>
              <w:left w:w="105" w:type="dxa"/>
              <w:right w:w="105" w:type="dxa"/>
            </w:tcMar>
            <w:vAlign w:val="top"/>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1、耐压测试；</w:t>
            </w:r>
          </w:p>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2、绝缘测试；</w:t>
            </w:r>
          </w:p>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3、接触电阻测试；</w:t>
            </w:r>
          </w:p>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4、分合测试。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010" w:type="dxa"/>
            <w:tcBorders>
              <w:top w:val="nil"/>
              <w:left w:val="single" w:color="auto" w:sz="6" w:space="0"/>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w:t>
            </w:r>
          </w:p>
        </w:tc>
        <w:tc>
          <w:tcPr>
            <w:tcW w:w="4166" w:type="dxa"/>
            <w:tcBorders>
              <w:top w:val="nil"/>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10KV负荷隔离开关预防性试验</w:t>
            </w:r>
          </w:p>
        </w:tc>
        <w:tc>
          <w:tcPr>
            <w:tcW w:w="5118" w:type="dxa"/>
            <w:tcBorders>
              <w:top w:val="nil"/>
              <w:left w:val="nil"/>
              <w:bottom w:val="single" w:color="auto" w:sz="6" w:space="0"/>
              <w:right w:val="single" w:color="auto" w:sz="6" w:space="0"/>
            </w:tcBorders>
            <w:noWrap w:val="0"/>
            <w:tcMar>
              <w:left w:w="105" w:type="dxa"/>
              <w:right w:w="105" w:type="dxa"/>
            </w:tcMar>
            <w:vAlign w:val="top"/>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1、耐压测试；</w:t>
            </w:r>
          </w:p>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2、绝缘测试；</w:t>
            </w:r>
          </w:p>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3、接触电阻测试。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010" w:type="dxa"/>
            <w:tcBorders>
              <w:top w:val="nil"/>
              <w:left w:val="single" w:color="auto" w:sz="6" w:space="0"/>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4</w:t>
            </w:r>
          </w:p>
        </w:tc>
        <w:tc>
          <w:tcPr>
            <w:tcW w:w="4166" w:type="dxa"/>
            <w:tcBorders>
              <w:top w:val="nil"/>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10KV电缆预防性试验</w:t>
            </w:r>
          </w:p>
        </w:tc>
        <w:tc>
          <w:tcPr>
            <w:tcW w:w="5118" w:type="dxa"/>
            <w:tcBorders>
              <w:top w:val="nil"/>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绝缘测试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10" w:type="dxa"/>
            <w:tcBorders>
              <w:top w:val="nil"/>
              <w:left w:val="single" w:color="auto" w:sz="6" w:space="0"/>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5</w:t>
            </w:r>
          </w:p>
        </w:tc>
        <w:tc>
          <w:tcPr>
            <w:tcW w:w="4166" w:type="dxa"/>
            <w:tcBorders>
              <w:top w:val="nil"/>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10KV母线耐压试验</w:t>
            </w:r>
          </w:p>
        </w:tc>
        <w:tc>
          <w:tcPr>
            <w:tcW w:w="5118" w:type="dxa"/>
            <w:tcBorders>
              <w:top w:val="nil"/>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交流耐压测试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1010" w:type="dxa"/>
            <w:tcBorders>
              <w:top w:val="nil"/>
              <w:left w:val="single" w:color="auto" w:sz="6" w:space="0"/>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6</w:t>
            </w:r>
          </w:p>
        </w:tc>
        <w:tc>
          <w:tcPr>
            <w:tcW w:w="4166" w:type="dxa"/>
            <w:tcBorders>
              <w:top w:val="nil"/>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10KV避雷器预防性试验</w:t>
            </w:r>
          </w:p>
        </w:tc>
        <w:tc>
          <w:tcPr>
            <w:tcW w:w="5118" w:type="dxa"/>
            <w:tcBorders>
              <w:top w:val="nil"/>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1、绝缘测试；</w:t>
            </w:r>
          </w:p>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2、泄露、持续电流测试。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10" w:type="dxa"/>
            <w:tcBorders>
              <w:top w:val="nil"/>
              <w:left w:val="single" w:color="auto" w:sz="6" w:space="0"/>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7</w:t>
            </w:r>
          </w:p>
        </w:tc>
        <w:tc>
          <w:tcPr>
            <w:tcW w:w="4166" w:type="dxa"/>
            <w:tcBorders>
              <w:top w:val="nil"/>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接地网试验</w:t>
            </w:r>
          </w:p>
        </w:tc>
        <w:tc>
          <w:tcPr>
            <w:tcW w:w="5118" w:type="dxa"/>
            <w:tcBorders>
              <w:top w:val="nil"/>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r>
              <w:rPr>
                <w:rFonts w:hint="eastAsia" w:ascii="仿宋" w:hAnsi="仿宋" w:eastAsia="仿宋" w:cs="仿宋"/>
                <w:b w:val="0"/>
                <w:bCs w:val="0"/>
                <w:color w:val="000000"/>
                <w:sz w:val="28"/>
                <w:szCs w:val="28"/>
                <w:lang w:val="en-US" w:eastAsia="zh-CN"/>
              </w:rPr>
              <w:t>接地电阻测试</w:t>
            </w:r>
          </w:p>
        </w:tc>
      </w:tr>
    </w:tbl>
    <w:p>
      <w:pPr>
        <w:pStyle w:val="15"/>
        <w:rPr>
          <w:rFonts w:hint="eastAsia" w:ascii="仿宋" w:hAnsi="仿宋" w:eastAsia="仿宋" w:cs="仿宋"/>
          <w:sz w:val="28"/>
          <w:szCs w:val="28"/>
        </w:rPr>
      </w:pPr>
    </w:p>
    <w:tbl>
      <w:tblPr>
        <w:tblStyle w:val="16"/>
        <w:tblW w:w="103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28"/>
        <w:gridCol w:w="833"/>
        <w:gridCol w:w="1150"/>
        <w:gridCol w:w="1717"/>
        <w:gridCol w:w="2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10361" w:type="dxa"/>
            <w:gridSpan w:val="5"/>
            <w:tcBorders>
              <w:top w:val="nil"/>
              <w:left w:val="nil"/>
              <w:bottom w:val="single" w:color="auto" w:sz="6" w:space="0"/>
              <w:right w:val="nil"/>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2" w:firstLineChars="200"/>
              <w:jc w:val="center"/>
              <w:textAlignment w:val="auto"/>
              <w:rPr>
                <w:rFonts w:hint="eastAsia" w:ascii="仿宋" w:hAnsi="仿宋" w:eastAsia="仿宋" w:cs="仿宋"/>
                <w:b/>
                <w:bCs/>
                <w:color w:val="000000"/>
                <w:sz w:val="28"/>
                <w:szCs w:val="28"/>
                <w:u w:val="none"/>
                <w:lang w:val="en-US" w:eastAsia="zh-CN"/>
              </w:rPr>
            </w:pPr>
            <w:r>
              <w:rPr>
                <w:rFonts w:hint="eastAsia" w:ascii="仿宋" w:hAnsi="仿宋" w:eastAsia="仿宋" w:cs="仿宋"/>
                <w:b/>
                <w:bCs/>
                <w:color w:val="000000"/>
                <w:sz w:val="28"/>
                <w:szCs w:val="28"/>
                <w:u w:val="none"/>
                <w:lang w:val="en-US" w:eastAsia="zh-CN"/>
              </w:rPr>
              <w:t>分项报价单</w:t>
            </w:r>
          </w:p>
          <w:p>
            <w:pPr>
              <w:pageBreakBefore w:val="0"/>
              <w:kinsoku/>
              <w:wordWrap/>
              <w:overflowPunct/>
              <w:topLinePunct w:val="0"/>
              <w:autoSpaceDE w:val="0"/>
              <w:autoSpaceDN w:val="0"/>
              <w:bidi w:val="0"/>
              <w:adjustRightInd w:val="0"/>
              <w:spacing w:line="400" w:lineRule="exact"/>
              <w:ind w:firstLine="562" w:firstLineChars="20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bCs/>
                <w:color w:val="000000"/>
                <w:sz w:val="28"/>
                <w:szCs w:val="28"/>
                <w:u w:val="none"/>
                <w:lang w:val="en-US" w:eastAsia="zh-CN"/>
              </w:rPr>
              <w:t>南京市溧水区人民医院10kV配电房测试内容（综合病房楼配电房）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4528" w:type="dxa"/>
            <w:tcBorders>
              <w:top w:val="nil"/>
              <w:left w:val="single" w:color="auto" w:sz="6" w:space="0"/>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项目名称及规范</w:t>
            </w:r>
          </w:p>
        </w:tc>
        <w:tc>
          <w:tcPr>
            <w:tcW w:w="833" w:type="dxa"/>
            <w:tcBorders>
              <w:top w:val="single" w:color="auto" w:sz="6" w:space="0"/>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位</w:t>
            </w:r>
          </w:p>
        </w:tc>
        <w:tc>
          <w:tcPr>
            <w:tcW w:w="1150" w:type="dxa"/>
            <w:tcBorders>
              <w:top w:val="single" w:color="auto" w:sz="6" w:space="0"/>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工程量</w:t>
            </w:r>
          </w:p>
        </w:tc>
        <w:tc>
          <w:tcPr>
            <w:tcW w:w="1717" w:type="dxa"/>
            <w:tcBorders>
              <w:top w:val="single" w:color="auto" w:sz="6" w:space="0"/>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单价（元）</w:t>
            </w:r>
          </w:p>
        </w:tc>
        <w:tc>
          <w:tcPr>
            <w:tcW w:w="2133" w:type="dxa"/>
            <w:tcBorders>
              <w:top w:val="single" w:color="auto" w:sz="6" w:space="0"/>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三相电力变压器   容量2000kVA以下</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台</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4</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10kV  PT柜</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台</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2</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断路器电压10kV以下  进线柜</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台</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2</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断路器电压10kV以下  出线柜</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台</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4</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断路器电压10kV以下  母联柜</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台</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隔离开关电压10kV以下  隔离柜</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台</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10kV 母线耐压</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段</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2</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10kV 避雷器</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组</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4</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接地网</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系统</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送配电保护装置3~10kV</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套</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3</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变压器保护装置3~10kV</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套</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4</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直流屏充电控制器维护</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只</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直流屏充电模块维护</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只</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电缆试验</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根</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4</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强电间1KV测试、检查</w:t>
            </w:r>
          </w:p>
        </w:tc>
        <w:tc>
          <w:tcPr>
            <w:tcW w:w="8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间</w:t>
            </w:r>
          </w:p>
        </w:tc>
        <w:tc>
          <w:tcPr>
            <w:tcW w:w="1150"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60</w:t>
            </w:r>
          </w:p>
        </w:tc>
        <w:tc>
          <w:tcPr>
            <w:tcW w:w="1717"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3"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bl>
    <w:p>
      <w:pPr>
        <w:pageBreakBefore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b w:val="0"/>
          <w:bCs w:val="0"/>
          <w:color w:val="000000"/>
          <w:sz w:val="28"/>
          <w:szCs w:val="28"/>
          <w:lang w:val="en-US" w:eastAsia="zh-CN"/>
        </w:rPr>
      </w:pPr>
    </w:p>
    <w:tbl>
      <w:tblPr>
        <w:tblStyle w:val="16"/>
        <w:tblW w:w="10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28"/>
        <w:gridCol w:w="816"/>
        <w:gridCol w:w="1184"/>
        <w:gridCol w:w="1716"/>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10378" w:type="dxa"/>
            <w:gridSpan w:val="5"/>
            <w:tcBorders>
              <w:top w:val="nil"/>
              <w:left w:val="nil"/>
              <w:bottom w:val="single" w:color="auto" w:sz="6" w:space="0"/>
              <w:right w:val="nil"/>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bCs/>
                <w:color w:val="000000"/>
                <w:sz w:val="28"/>
                <w:szCs w:val="28"/>
                <w:u w:val="none"/>
                <w:lang w:val="en-US" w:eastAsia="zh-CN"/>
              </w:rPr>
              <w:t>南京市溧水区人民医院10kV配电房测试内容（3号楼配电房）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trPr>
        <w:tc>
          <w:tcPr>
            <w:tcW w:w="4528" w:type="dxa"/>
            <w:tcBorders>
              <w:top w:val="nil"/>
              <w:left w:val="single" w:color="auto" w:sz="6" w:space="0"/>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项目名称及规范</w:t>
            </w:r>
          </w:p>
        </w:tc>
        <w:tc>
          <w:tcPr>
            <w:tcW w:w="816" w:type="dxa"/>
            <w:tcBorders>
              <w:top w:val="single" w:color="auto" w:sz="6" w:space="0"/>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位</w:t>
            </w:r>
          </w:p>
        </w:tc>
        <w:tc>
          <w:tcPr>
            <w:tcW w:w="1184" w:type="dxa"/>
            <w:tcBorders>
              <w:top w:val="single" w:color="auto" w:sz="6" w:space="0"/>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工程量</w:t>
            </w:r>
          </w:p>
        </w:tc>
        <w:tc>
          <w:tcPr>
            <w:tcW w:w="1716" w:type="dxa"/>
            <w:tcBorders>
              <w:top w:val="single" w:color="auto" w:sz="6" w:space="0"/>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单价（元）</w:t>
            </w:r>
          </w:p>
        </w:tc>
        <w:tc>
          <w:tcPr>
            <w:tcW w:w="2134" w:type="dxa"/>
            <w:tcBorders>
              <w:top w:val="single" w:color="auto" w:sz="6" w:space="0"/>
              <w:left w:val="nil"/>
              <w:bottom w:val="single" w:color="auto" w:sz="6" w:space="0"/>
              <w:right w:val="single" w:color="auto" w:sz="6" w:space="0"/>
            </w:tcBorders>
            <w:noWrap w:val="0"/>
            <w:tcMar>
              <w:left w:w="105" w:type="dxa"/>
              <w:right w:w="105" w:type="dxa"/>
            </w:tcMar>
            <w:vAlign w:val="center"/>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三相电力变压器   容量2000kVA以下</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台</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4</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10kV  PT柜</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台</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2</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断路器电压10kV以下  进线柜</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台</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2</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断路器电压10kV以下  出线柜</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台</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8</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断路器电压10kV以下  母联柜</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台</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隔离开关电压10kV以下  隔离柜</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台</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10kV 母线耐压</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段</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2</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10kV 避雷器</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组</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8</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接地网</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系统</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送配电保护装置3~10kV</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套</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4</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变压器保护装置3~10kV</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套</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4</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直流屏220V以下检查</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套</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1</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电缆试验</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根</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4</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 w:hRule="atLeast"/>
        </w:trPr>
        <w:tc>
          <w:tcPr>
            <w:tcW w:w="4528" w:type="dxa"/>
            <w:tcBorders>
              <w:top w:val="nil"/>
              <w:left w:val="single" w:color="000000" w:sz="6" w:space="0"/>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强电间1KV测试、检查</w:t>
            </w:r>
          </w:p>
        </w:tc>
        <w:tc>
          <w:tcPr>
            <w:tcW w:w="8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间</w:t>
            </w:r>
          </w:p>
        </w:tc>
        <w:tc>
          <w:tcPr>
            <w:tcW w:w="118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left="0" w:leftChars="0" w:firstLine="0" w:firstLineChars="0"/>
              <w:jc w:val="center"/>
              <w:textAlignment w:val="auto"/>
              <w:rPr>
                <w:rFonts w:hint="eastAsia" w:ascii="仿宋" w:hAnsi="仿宋" w:eastAsia="仿宋" w:cs="仿宋"/>
                <w:b w:val="0"/>
                <w:bCs w:val="0"/>
                <w:color w:val="000000"/>
                <w:sz w:val="28"/>
                <w:szCs w:val="28"/>
                <w:u w:val="none"/>
                <w:lang w:val="en-US" w:eastAsia="zh-CN"/>
              </w:rPr>
            </w:pPr>
            <w:r>
              <w:rPr>
                <w:rFonts w:hint="eastAsia" w:ascii="仿宋" w:hAnsi="仿宋" w:eastAsia="仿宋" w:cs="仿宋"/>
                <w:b w:val="0"/>
                <w:bCs w:val="0"/>
                <w:color w:val="000000"/>
                <w:sz w:val="28"/>
                <w:szCs w:val="28"/>
                <w:u w:val="none"/>
                <w:lang w:val="en-US" w:eastAsia="zh-CN"/>
              </w:rPr>
              <w:t>40</w:t>
            </w:r>
          </w:p>
        </w:tc>
        <w:tc>
          <w:tcPr>
            <w:tcW w:w="1716"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c>
          <w:tcPr>
            <w:tcW w:w="2134" w:type="dxa"/>
            <w:tcBorders>
              <w:top w:val="nil"/>
              <w:left w:val="nil"/>
              <w:bottom w:val="single" w:color="000000" w:sz="6" w:space="0"/>
              <w:right w:val="single" w:color="000000" w:sz="6" w:space="0"/>
            </w:tcBorders>
            <w:noWrap w:val="0"/>
            <w:tcMar>
              <w:left w:w="105" w:type="dxa"/>
              <w:right w:w="105" w:type="dxa"/>
            </w:tcMar>
            <w:vAlign w:val="bottom"/>
          </w:tcPr>
          <w:p>
            <w:pPr>
              <w:pageBreakBefore w:val="0"/>
              <w:kinsoku/>
              <w:wordWrap/>
              <w:overflowPunct/>
              <w:topLinePunct w:val="0"/>
              <w:autoSpaceDE w:val="0"/>
              <w:autoSpaceDN w:val="0"/>
              <w:bidi w:val="0"/>
              <w:adjustRightInd w:val="0"/>
              <w:spacing w:line="400" w:lineRule="exact"/>
              <w:ind w:firstLine="560" w:firstLineChars="200"/>
              <w:jc w:val="center"/>
              <w:textAlignment w:val="auto"/>
              <w:rPr>
                <w:rFonts w:hint="eastAsia" w:ascii="仿宋" w:hAnsi="仿宋" w:eastAsia="仿宋" w:cs="仿宋"/>
                <w:b w:val="0"/>
                <w:bCs w:val="0"/>
                <w:color w:val="000000"/>
                <w:sz w:val="28"/>
                <w:szCs w:val="28"/>
                <w:u w:val="none"/>
                <w:lang w:val="en-US" w:eastAsia="zh-CN"/>
              </w:rPr>
            </w:pPr>
          </w:p>
        </w:tc>
      </w:tr>
    </w:tbl>
    <w:p>
      <w:pPr>
        <w:ind w:left="0" w:leftChars="0"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服务期限：自    年  月  日起至    年  月  日止。</w:t>
      </w:r>
    </w:p>
    <w:p>
      <w:pPr>
        <w:rPr>
          <w:rFonts w:hint="eastAsia" w:ascii="仿宋" w:hAnsi="仿宋" w:eastAsia="仿宋" w:cs="仿宋"/>
          <w:b w:val="0"/>
          <w:bCs w:val="0"/>
          <w:sz w:val="28"/>
          <w:szCs w:val="28"/>
        </w:rPr>
      </w:pPr>
    </w:p>
    <w:p>
      <w:pPr>
        <w:ind w:firstLine="560"/>
        <w:rPr>
          <w:rFonts w:hint="eastAsia" w:ascii="仿宋" w:hAnsi="仿宋" w:eastAsia="仿宋" w:cs="仿宋"/>
          <w:b w:val="0"/>
          <w:bCs w:val="0"/>
          <w:sz w:val="28"/>
          <w:szCs w:val="28"/>
        </w:rPr>
      </w:pPr>
    </w:p>
    <w:p>
      <w:pPr>
        <w:ind w:firstLine="560"/>
        <w:rPr>
          <w:rFonts w:hint="eastAsia" w:ascii="仿宋" w:hAnsi="仿宋" w:eastAsia="仿宋" w:cs="仿宋"/>
          <w:b w:val="0"/>
          <w:bCs w:val="0"/>
          <w:sz w:val="28"/>
          <w:szCs w:val="28"/>
        </w:rPr>
      </w:pPr>
    </w:p>
    <w:p>
      <w:pPr>
        <w:pStyle w:val="21"/>
        <w:numPr>
          <w:ilvl w:val="0"/>
          <w:numId w:val="6"/>
        </w:numPr>
        <w:ind w:firstLine="560"/>
        <w:rPr>
          <w:rFonts w:hint="eastAsia" w:ascii="仿宋" w:hAnsi="仿宋" w:eastAsia="仿宋" w:cs="仿宋"/>
          <w:b/>
          <w:bCs/>
          <w:sz w:val="28"/>
          <w:szCs w:val="28"/>
        </w:rPr>
      </w:pPr>
      <w:r>
        <w:rPr>
          <w:rFonts w:hint="eastAsia" w:ascii="仿宋" w:hAnsi="仿宋" w:eastAsia="仿宋" w:cs="仿宋"/>
          <w:b/>
          <w:bCs/>
          <w:sz w:val="28"/>
          <w:szCs w:val="28"/>
        </w:rPr>
        <w:t>合同总价款</w:t>
      </w:r>
      <w:r>
        <w:rPr>
          <w:rFonts w:hint="eastAsia" w:ascii="仿宋" w:hAnsi="仿宋" w:eastAsia="仿宋" w:cs="仿宋"/>
          <w:b/>
          <w:bCs/>
          <w:sz w:val="28"/>
          <w:szCs w:val="28"/>
          <w:lang w:val="en-US" w:eastAsia="zh-CN"/>
        </w:rPr>
        <w:t>及付款方式</w:t>
      </w:r>
    </w:p>
    <w:p>
      <w:pPr>
        <w:pStyle w:val="21"/>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val="0"/>
        </w:rPr>
      </w:pPr>
      <w:r>
        <w:rPr>
          <w:rFonts w:hint="eastAsia" w:ascii="仿宋" w:hAnsi="仿宋" w:eastAsia="仿宋" w:cs="仿宋"/>
          <w:b/>
          <w:bCs/>
          <w:sz w:val="28"/>
          <w:szCs w:val="28"/>
        </w:rPr>
        <w:t>合同金额:</w:t>
      </w:r>
      <w:r>
        <w:rPr>
          <w:rFonts w:hint="eastAsia" w:ascii="仿宋" w:hAnsi="仿宋" w:eastAsia="仿宋" w:cs="仿宋"/>
          <w:b w:val="0"/>
          <w:bCs w:val="0"/>
          <w:sz w:val="28"/>
          <w:szCs w:val="28"/>
        </w:rPr>
        <w:t>本工程测试价共计人民币</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元/年，大写</w:t>
      </w:r>
      <w:r>
        <w:rPr>
          <w:rFonts w:hint="eastAsia" w:ascii="仿宋" w:hAnsi="仿宋" w:eastAsia="仿宋" w:cs="仿宋"/>
          <w:b w:val="0"/>
          <w:bCs w:val="0"/>
          <w:sz w:val="28"/>
          <w:szCs w:val="28"/>
          <w:lang w:val="en-US" w:eastAsia="zh-CN"/>
        </w:rPr>
        <w:t xml:space="preserve">        元</w:t>
      </w:r>
      <w:r>
        <w:rPr>
          <w:rFonts w:hint="eastAsia" w:ascii="仿宋" w:hAnsi="仿宋" w:eastAsia="仿宋" w:cs="仿宋"/>
          <w:b w:val="0"/>
          <w:bCs w:val="0"/>
          <w:sz w:val="28"/>
          <w:szCs w:val="28"/>
        </w:rPr>
        <w:t>整/年。本项目是固定总价合同，合同价款中已包括承包人承担本项目工作范围内的人工费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机械费、措施费、运输费</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装卸费、搬运费、垂直</w:t>
      </w:r>
      <w:r>
        <w:rPr>
          <w:rFonts w:hint="eastAsia" w:ascii="仿宋" w:hAnsi="仿宋" w:eastAsia="仿宋" w:cs="仿宋"/>
          <w:b w:val="0"/>
          <w:bCs w:val="0"/>
          <w:sz w:val="28"/>
          <w:szCs w:val="28"/>
          <w:lang w:val="en-US" w:eastAsia="zh-CN"/>
        </w:rPr>
        <w:t>搬</w:t>
      </w:r>
      <w:r>
        <w:rPr>
          <w:rFonts w:hint="eastAsia" w:ascii="仿宋" w:hAnsi="仿宋" w:eastAsia="仿宋" w:cs="仿宋"/>
          <w:b w:val="0"/>
          <w:bCs w:val="0"/>
          <w:sz w:val="28"/>
          <w:szCs w:val="28"/>
        </w:rPr>
        <w:t>运费、水电费、材料检测费、现场试验费、安</w:t>
      </w:r>
      <w:r>
        <w:rPr>
          <w:rFonts w:hint="eastAsia" w:ascii="仿宋" w:hAnsi="仿宋" w:eastAsia="仿宋" w:cs="仿宋"/>
          <w:b w:val="0"/>
          <w:bCs w:val="0"/>
          <w:sz w:val="28"/>
          <w:szCs w:val="28"/>
          <w:lang w:val="en-US" w:eastAsia="zh-CN"/>
        </w:rPr>
        <w:t>全</w:t>
      </w:r>
      <w:r>
        <w:rPr>
          <w:rFonts w:hint="eastAsia" w:ascii="仿宋" w:hAnsi="仿宋" w:eastAsia="仿宋" w:cs="仿宋"/>
          <w:b w:val="0"/>
          <w:bCs w:val="0"/>
          <w:sz w:val="28"/>
          <w:szCs w:val="28"/>
        </w:rPr>
        <w:t>文明施工费、保管费、措施费、总承包配合费、利润、税金等</w:t>
      </w:r>
      <w:r>
        <w:rPr>
          <w:rFonts w:hint="eastAsia" w:ascii="仿宋" w:hAnsi="仿宋" w:eastAsia="仿宋" w:cs="仿宋"/>
          <w:b w:val="0"/>
          <w:bCs w:val="0"/>
        </w:rPr>
        <w:t>所有费用以及合同明显或</w:t>
      </w:r>
      <w:r>
        <w:rPr>
          <w:rFonts w:hint="eastAsia" w:cs="仿宋"/>
          <w:b w:val="0"/>
          <w:bCs w:val="0"/>
          <w:lang w:val="en-US" w:eastAsia="zh-CN"/>
        </w:rPr>
        <w:t>暗</w:t>
      </w:r>
      <w:r>
        <w:rPr>
          <w:rFonts w:hint="eastAsia" w:ascii="仿宋" w:hAnsi="仿宋" w:eastAsia="仿宋" w:cs="仿宋"/>
          <w:b w:val="0"/>
          <w:bCs w:val="0"/>
        </w:rPr>
        <w:t>示的所有一般风险</w:t>
      </w:r>
      <w:r>
        <w:rPr>
          <w:rFonts w:hint="eastAsia" w:cs="仿宋"/>
          <w:b w:val="0"/>
          <w:bCs w:val="0"/>
          <w:lang w:eastAsia="zh-CN"/>
        </w:rPr>
        <w:t>、</w:t>
      </w:r>
      <w:r>
        <w:rPr>
          <w:rFonts w:hint="eastAsia" w:ascii="仿宋" w:hAnsi="仿宋" w:eastAsia="仿宋" w:cs="仿宋"/>
          <w:b w:val="0"/>
          <w:bCs w:val="0"/>
        </w:rPr>
        <w:t>责任和义务费用</w:t>
      </w:r>
      <w:r>
        <w:rPr>
          <w:rFonts w:hint="eastAsia" w:cs="仿宋"/>
          <w:b w:val="0"/>
          <w:bCs w:val="0"/>
          <w:lang w:eastAsia="zh-CN"/>
        </w:rPr>
        <w:t>。</w:t>
      </w:r>
      <w:r>
        <w:rPr>
          <w:rFonts w:hint="eastAsia" w:ascii="仿宋" w:hAnsi="仿宋" w:eastAsia="仿宋" w:cs="仿宋"/>
          <w:b w:val="0"/>
          <w:bCs w:val="0"/>
        </w:rPr>
        <w:t>材料检验试验费及相关部门要求的二次险验试验费用均包含在本合同总价里。本合同总价不做任问调整，甲方书面同意的变更除外。</w:t>
      </w:r>
    </w:p>
    <w:p>
      <w:pPr>
        <w:ind w:firstLine="560"/>
        <w:rPr>
          <w:b w:val="0"/>
          <w:bCs w:val="0"/>
        </w:rPr>
      </w:pPr>
      <w:r>
        <w:rPr>
          <w:rFonts w:hint="eastAsia" w:ascii="仿宋" w:hAnsi="仿宋" w:eastAsia="仿宋" w:cs="仿宋"/>
          <w:b/>
          <w:bCs/>
        </w:rPr>
        <w:t>付款方式:</w:t>
      </w:r>
      <w:r>
        <w:rPr>
          <w:rFonts w:hint="eastAsia" w:ascii="仿宋" w:hAnsi="仿宋" w:eastAsia="仿宋" w:cs="仿宋"/>
          <w:b w:val="0"/>
          <w:bCs w:val="0"/>
        </w:rPr>
        <w:t>乙方完成项目并出具合格的检测报告，经甲方验收合格后，乙方开具符合国家规定的发票，按甲方正常流程向</w:t>
      </w:r>
      <w:r>
        <w:rPr>
          <w:rFonts w:hint="eastAsia" w:cs="仿宋"/>
          <w:b w:val="0"/>
          <w:bCs w:val="0"/>
          <w:lang w:val="en-US" w:eastAsia="zh-CN"/>
        </w:rPr>
        <w:t>乙</w:t>
      </w:r>
      <w:r>
        <w:rPr>
          <w:rFonts w:hint="eastAsia" w:ascii="仿宋" w:hAnsi="仿宋" w:eastAsia="仿宋" w:cs="仿宋"/>
          <w:b w:val="0"/>
          <w:bCs w:val="0"/>
        </w:rPr>
        <w:t>方支付当年度合同全款。</w:t>
      </w:r>
    </w:p>
    <w:p>
      <w:pPr>
        <w:ind w:firstLine="560"/>
        <w:rPr>
          <w:rFonts w:hint="default" w:eastAsia="仿宋"/>
          <w:b/>
          <w:bCs/>
          <w:lang w:val="en-US" w:eastAsia="zh-CN"/>
        </w:rPr>
      </w:pPr>
      <w:r>
        <w:rPr>
          <w:rFonts w:hint="eastAsia"/>
          <w:b/>
          <w:bCs/>
        </w:rPr>
        <w:t>第</w:t>
      </w:r>
      <w:r>
        <w:rPr>
          <w:rFonts w:hint="eastAsia"/>
          <w:b/>
          <w:bCs/>
          <w:lang w:val="en-US" w:eastAsia="zh-CN"/>
        </w:rPr>
        <w:t>三</w:t>
      </w:r>
      <w:r>
        <w:rPr>
          <w:rFonts w:hint="eastAsia"/>
          <w:b/>
          <w:bCs/>
        </w:rPr>
        <w:t>条 质量保证</w:t>
      </w:r>
      <w:r>
        <w:rPr>
          <w:rFonts w:hint="eastAsia"/>
          <w:b/>
          <w:bCs/>
          <w:lang w:val="en-US" w:eastAsia="zh-CN"/>
        </w:rPr>
        <w:t>及安全要求</w:t>
      </w:r>
    </w:p>
    <w:p>
      <w:pPr>
        <w:ind w:firstLine="560"/>
        <w:rPr>
          <w:rFonts w:hint="eastAsia"/>
          <w:b/>
          <w:bCs/>
          <w:lang w:val="en-US" w:eastAsia="zh-CN"/>
        </w:rPr>
      </w:pPr>
      <w:r>
        <w:rPr>
          <w:rFonts w:hint="eastAsia"/>
          <w:b/>
          <w:bCs/>
          <w:lang w:val="en-US" w:eastAsia="zh-CN"/>
        </w:rPr>
        <w:t>工程质量：</w:t>
      </w:r>
    </w:p>
    <w:p>
      <w:pPr>
        <w:ind w:firstLine="560"/>
        <w:rPr>
          <w:rFonts w:hint="eastAsia"/>
          <w:b w:val="0"/>
          <w:bCs w:val="0"/>
        </w:rPr>
      </w:pPr>
      <w:r>
        <w:rPr>
          <w:rFonts w:hint="eastAsia"/>
          <w:b w:val="0"/>
          <w:bCs w:val="0"/>
        </w:rPr>
        <w:t>1、本项目要求严格</w:t>
      </w:r>
      <w:r>
        <w:rPr>
          <w:rFonts w:hint="eastAsia"/>
          <w:b w:val="0"/>
          <w:bCs w:val="0"/>
          <w:lang w:val="en-US" w:eastAsia="zh-CN"/>
        </w:rPr>
        <w:t>按</w:t>
      </w:r>
      <w:r>
        <w:rPr>
          <w:rFonts w:hint="eastAsia"/>
          <w:b w:val="0"/>
          <w:bCs w:val="0"/>
        </w:rPr>
        <w:t>照《电力设备预防性试验规程》DL/T596-1996、《电业安全规程》的等相关规定对招标范围内的配电房电气没备进行试验，各类电气设备质防性试验的具体内容按照《电力设备预防性试验规程》执行，如有偏差应以《电力设备预防性试验规程》的相关条款为准。若与现行国家标准和规范不一致，按现行国家最新标准和规范执行。</w:t>
      </w:r>
    </w:p>
    <w:p>
      <w:pPr>
        <w:ind w:firstLine="560"/>
        <w:rPr>
          <w:rFonts w:hint="eastAsia"/>
          <w:b w:val="0"/>
          <w:bCs w:val="0"/>
        </w:rPr>
      </w:pPr>
      <w:r>
        <w:rPr>
          <w:rFonts w:hint="eastAsia"/>
          <w:b w:val="0"/>
          <w:bCs w:val="0"/>
        </w:rPr>
        <w:t>2、</w:t>
      </w:r>
      <w:r>
        <w:rPr>
          <w:rFonts w:hint="eastAsia"/>
          <w:b w:val="0"/>
          <w:bCs w:val="0"/>
          <w:lang w:val="en-US" w:eastAsia="zh-CN"/>
        </w:rPr>
        <w:t>试验</w:t>
      </w:r>
      <w:r>
        <w:rPr>
          <w:rFonts w:hint="eastAsia"/>
          <w:b w:val="0"/>
          <w:bCs w:val="0"/>
        </w:rPr>
        <w:t>做到数据准确、不</w:t>
      </w:r>
      <w:r>
        <w:rPr>
          <w:rFonts w:hint="eastAsia"/>
          <w:b w:val="0"/>
          <w:bCs w:val="0"/>
          <w:lang w:val="en-US" w:eastAsia="zh-CN"/>
        </w:rPr>
        <w:t>超</w:t>
      </w:r>
      <w:r>
        <w:rPr>
          <w:rFonts w:hint="eastAsia"/>
          <w:b w:val="0"/>
          <w:bCs w:val="0"/>
        </w:rPr>
        <w:t>期、不</w:t>
      </w:r>
      <w:r>
        <w:rPr>
          <w:rFonts w:hint="eastAsia"/>
          <w:b w:val="0"/>
          <w:bCs w:val="0"/>
          <w:lang w:val="en-US" w:eastAsia="zh-CN"/>
        </w:rPr>
        <w:t>漏</w:t>
      </w:r>
      <w:r>
        <w:rPr>
          <w:rFonts w:hint="eastAsia"/>
          <w:b w:val="0"/>
          <w:bCs w:val="0"/>
        </w:rPr>
        <w:t>项目。试验工作结束后，乙方试验负责人应认真核对试验项目</w:t>
      </w:r>
      <w:r>
        <w:rPr>
          <w:rFonts w:hint="eastAsia"/>
          <w:b w:val="0"/>
          <w:bCs w:val="0"/>
          <w:lang w:eastAsia="zh-CN"/>
        </w:rPr>
        <w:t>，</w:t>
      </w:r>
      <w:r>
        <w:rPr>
          <w:rFonts w:hint="eastAsia"/>
          <w:b w:val="0"/>
          <w:bCs w:val="0"/>
        </w:rPr>
        <w:t>作好记录。当实验结果无误后，才能拆除试验接线，恢复设备原有</w:t>
      </w:r>
      <w:r>
        <w:rPr>
          <w:rFonts w:hint="eastAsia"/>
          <w:b w:val="0"/>
          <w:bCs w:val="0"/>
          <w:lang w:val="en-US" w:eastAsia="zh-CN"/>
        </w:rPr>
        <w:t>接线</w:t>
      </w:r>
      <w:r>
        <w:rPr>
          <w:rFonts w:hint="eastAsia"/>
          <w:b w:val="0"/>
          <w:bCs w:val="0"/>
        </w:rPr>
        <w:t>。</w:t>
      </w:r>
    </w:p>
    <w:p>
      <w:pPr>
        <w:ind w:firstLine="560"/>
        <w:rPr>
          <w:rFonts w:hint="eastAsia"/>
          <w:b w:val="0"/>
          <w:bCs w:val="0"/>
        </w:rPr>
      </w:pPr>
      <w:r>
        <w:rPr>
          <w:rFonts w:hint="eastAsia"/>
          <w:b w:val="0"/>
          <w:bCs w:val="0"/>
        </w:rPr>
        <w:t>3、试验合格后，乙方须出具完整正规的试验</w:t>
      </w:r>
      <w:r>
        <w:rPr>
          <w:rFonts w:hint="eastAsia"/>
          <w:b w:val="0"/>
          <w:bCs w:val="0"/>
          <w:lang w:val="en-US" w:eastAsia="zh-CN"/>
        </w:rPr>
        <w:t>报告</w:t>
      </w:r>
      <w:r>
        <w:rPr>
          <w:rFonts w:hint="eastAsia"/>
          <w:b w:val="0"/>
          <w:bCs w:val="0"/>
        </w:rPr>
        <w:t>。</w:t>
      </w:r>
    </w:p>
    <w:p>
      <w:pPr>
        <w:ind w:firstLine="560"/>
        <w:rPr>
          <w:rFonts w:hint="eastAsia"/>
          <w:b w:val="0"/>
          <w:bCs w:val="0"/>
        </w:rPr>
      </w:pPr>
      <w:r>
        <w:rPr>
          <w:rFonts w:hint="eastAsia"/>
          <w:b/>
          <w:bCs/>
        </w:rPr>
        <w:t>安全要求:</w:t>
      </w:r>
      <w:r>
        <w:rPr>
          <w:rFonts w:hint="eastAsia"/>
          <w:b w:val="0"/>
          <w:bCs w:val="0"/>
          <w:lang w:val="en-US" w:eastAsia="zh-CN"/>
        </w:rPr>
        <w:t>一</w:t>
      </w:r>
      <w:r>
        <w:rPr>
          <w:rFonts w:hint="eastAsia"/>
          <w:b w:val="0"/>
          <w:bCs w:val="0"/>
        </w:rPr>
        <w:t>切与本项目</w:t>
      </w:r>
      <w:r>
        <w:rPr>
          <w:rFonts w:hint="eastAsia"/>
          <w:b w:val="0"/>
          <w:bCs w:val="0"/>
          <w:lang w:val="en-US" w:eastAsia="zh-CN"/>
        </w:rPr>
        <w:t>关</w:t>
      </w:r>
      <w:r>
        <w:rPr>
          <w:rFonts w:hint="eastAsia"/>
          <w:b w:val="0"/>
          <w:bCs w:val="0"/>
        </w:rPr>
        <w:t>的安全责任出之方负责。</w:t>
      </w:r>
    </w:p>
    <w:p>
      <w:pPr>
        <w:ind w:firstLine="560"/>
        <w:rPr>
          <w:rFonts w:hint="eastAsia"/>
          <w:b/>
          <w:bCs/>
        </w:rPr>
      </w:pPr>
      <w:r>
        <w:rPr>
          <w:rFonts w:hint="eastAsia"/>
          <w:b/>
          <w:bCs/>
          <w:lang w:val="en-US" w:eastAsia="zh-CN"/>
        </w:rPr>
        <w:t xml:space="preserve">第四条 </w:t>
      </w:r>
      <w:r>
        <w:rPr>
          <w:rFonts w:hint="eastAsia"/>
          <w:b/>
          <w:bCs/>
        </w:rPr>
        <w:t>双方权利与义务</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val="0"/>
        </w:rPr>
      </w:pPr>
      <w:r>
        <w:rPr>
          <w:rFonts w:hint="eastAsia" w:ascii="仿宋" w:hAnsi="仿宋" w:eastAsia="仿宋" w:cs="仿宋"/>
          <w:b/>
          <w:bCs/>
        </w:rPr>
        <w:t>甲方的权利与义务</w:t>
      </w:r>
      <w:r>
        <w:rPr>
          <w:rFonts w:hint="eastAsia" w:ascii="仿宋" w:hAnsi="仿宋" w:eastAsia="仿宋" w:cs="仿宋"/>
          <w:b/>
          <w:bCs/>
          <w:lang w:eastAsia="zh-CN"/>
        </w:rPr>
        <w:t>：</w:t>
      </w:r>
      <w:r>
        <w:rPr>
          <w:rFonts w:hint="eastAsia" w:ascii="仿宋" w:hAnsi="仿宋" w:eastAsia="仿宋" w:cs="仿宋"/>
          <w:b w:val="0"/>
          <w:bCs w:val="0"/>
        </w:rPr>
        <w:t>1</w:t>
      </w:r>
      <w:r>
        <w:rPr>
          <w:rFonts w:hint="eastAsia" w:ascii="仿宋" w:hAnsi="仿宋" w:eastAsia="仿宋" w:cs="仿宋"/>
          <w:b w:val="0"/>
          <w:bCs w:val="0"/>
          <w:lang w:eastAsia="zh-CN"/>
        </w:rPr>
        <w:t>、</w:t>
      </w:r>
      <w:r>
        <w:rPr>
          <w:rFonts w:hint="eastAsia" w:ascii="仿宋" w:hAnsi="仿宋" w:eastAsia="仿宋" w:cs="仿宋"/>
          <w:b w:val="0"/>
          <w:bCs w:val="0"/>
        </w:rPr>
        <w:t>甲方不得要求乙方违反安全管理现定进行施工。因甲方原因导致的安全事故，由甲方承担相应的责任及发生的费用</w:t>
      </w:r>
      <w:r>
        <w:rPr>
          <w:rFonts w:hint="eastAsia" w:ascii="仿宋" w:hAnsi="仿宋" w:eastAsia="仿宋" w:cs="仿宋"/>
          <w:b w:val="0"/>
          <w:bCs w:val="0"/>
          <w:lang w:eastAsia="zh-CN"/>
        </w:rPr>
        <w:t>；</w:t>
      </w:r>
      <w:r>
        <w:rPr>
          <w:rFonts w:hint="eastAsia" w:ascii="仿宋" w:hAnsi="仿宋" w:eastAsia="仿宋" w:cs="仿宋"/>
          <w:b w:val="0"/>
          <w:bCs w:val="0"/>
        </w:rPr>
        <w:t>2</w:t>
      </w:r>
      <w:r>
        <w:rPr>
          <w:rFonts w:hint="eastAsia" w:ascii="仿宋" w:hAnsi="仿宋" w:eastAsia="仿宋" w:cs="仿宋"/>
          <w:b w:val="0"/>
          <w:bCs w:val="0"/>
          <w:lang w:eastAsia="zh-CN"/>
        </w:rPr>
        <w:t>、</w:t>
      </w:r>
      <w:r>
        <w:rPr>
          <w:rFonts w:hint="eastAsia" w:ascii="仿宋" w:hAnsi="仿宋" w:eastAsia="仿宋" w:cs="仿宋"/>
          <w:b w:val="0"/>
          <w:bCs w:val="0"/>
        </w:rPr>
        <w:t>如需要进行科室间的协调和沟通，甲方应</w:t>
      </w:r>
      <w:r>
        <w:rPr>
          <w:rFonts w:hint="eastAsia" w:ascii="仿宋" w:hAnsi="仿宋" w:eastAsia="仿宋" w:cs="仿宋"/>
          <w:b w:val="0"/>
          <w:bCs w:val="0"/>
          <w:lang w:val="en-US" w:eastAsia="zh-CN"/>
        </w:rPr>
        <w:t>积极配合乙</w:t>
      </w:r>
      <w:r>
        <w:rPr>
          <w:rFonts w:hint="eastAsia" w:ascii="仿宋" w:hAnsi="仿宋" w:eastAsia="仿宋" w:cs="仿宋"/>
          <w:b w:val="0"/>
          <w:bCs w:val="0"/>
        </w:rPr>
        <w:t>方的工作。</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val="0"/>
        </w:rPr>
      </w:pPr>
      <w:r>
        <w:rPr>
          <w:rFonts w:hint="eastAsia" w:ascii="仿宋" w:hAnsi="仿宋" w:eastAsia="仿宋" w:cs="仿宋"/>
          <w:b/>
          <w:bCs/>
        </w:rPr>
        <w:t>乙方的权利与义务</w:t>
      </w:r>
      <w:r>
        <w:rPr>
          <w:rFonts w:hint="eastAsia" w:ascii="仿宋" w:hAnsi="仿宋" w:eastAsia="仿宋" w:cs="仿宋"/>
          <w:b/>
          <w:bCs/>
          <w:lang w:eastAsia="zh-CN"/>
        </w:rPr>
        <w:t>：</w:t>
      </w:r>
      <w:r>
        <w:rPr>
          <w:rFonts w:hint="eastAsia" w:ascii="仿宋" w:hAnsi="仿宋" w:eastAsia="仿宋" w:cs="仿宋"/>
          <w:b w:val="0"/>
          <w:bCs w:val="0"/>
          <w:lang w:val="en-US" w:eastAsia="zh-CN"/>
        </w:rPr>
        <w:t>1、</w:t>
      </w:r>
      <w:r>
        <w:rPr>
          <w:rFonts w:hint="eastAsia" w:ascii="仿宋" w:hAnsi="仿宋" w:eastAsia="仿宋" w:cs="仿宋"/>
          <w:b w:val="0"/>
          <w:bCs w:val="0"/>
        </w:rPr>
        <w:t>乙</w:t>
      </w:r>
      <w:r>
        <w:rPr>
          <w:rFonts w:hint="eastAsia" w:ascii="仿宋" w:hAnsi="仿宋" w:eastAsia="仿宋" w:cs="仿宋"/>
          <w:b w:val="0"/>
          <w:bCs w:val="0"/>
          <w:lang w:val="en-US" w:eastAsia="zh-CN"/>
        </w:rPr>
        <w:t>方</w:t>
      </w:r>
      <w:r>
        <w:rPr>
          <w:rFonts w:hint="eastAsia" w:ascii="仿宋" w:hAnsi="仿宋" w:eastAsia="仿宋" w:cs="仿宋"/>
          <w:b w:val="0"/>
          <w:bCs w:val="0"/>
        </w:rPr>
        <w:t>必须坚持“安</w:t>
      </w:r>
      <w:r>
        <w:rPr>
          <w:rFonts w:hint="eastAsia" w:ascii="仿宋" w:hAnsi="仿宋" w:eastAsia="仿宋" w:cs="仿宋"/>
          <w:b w:val="0"/>
          <w:bCs w:val="0"/>
          <w:lang w:val="en-US" w:eastAsia="zh-CN"/>
        </w:rPr>
        <w:t>全</w:t>
      </w:r>
      <w:r>
        <w:rPr>
          <w:rFonts w:hint="eastAsia" w:ascii="仿宋" w:hAnsi="仿宋" w:eastAsia="仿宋" w:cs="仿宋"/>
          <w:b w:val="0"/>
          <w:bCs w:val="0"/>
        </w:rPr>
        <w:t>第一，质</w:t>
      </w:r>
      <w:r>
        <w:rPr>
          <w:rFonts w:hint="eastAsia" w:ascii="仿宋" w:hAnsi="仿宋" w:eastAsia="仿宋" w:cs="仿宋"/>
          <w:b w:val="0"/>
          <w:bCs w:val="0"/>
          <w:lang w:val="en-US" w:eastAsia="zh-CN"/>
        </w:rPr>
        <w:t>量</w:t>
      </w:r>
      <w:r>
        <w:rPr>
          <w:rFonts w:hint="eastAsia" w:ascii="仿宋" w:hAnsi="仿宋" w:eastAsia="仿宋" w:cs="仿宋"/>
          <w:b w:val="0"/>
          <w:bCs w:val="0"/>
        </w:rPr>
        <w:t>第一”的方针进行全过经管理，严格按电力建设与电气工程验收规定执行</w:t>
      </w:r>
      <w:r>
        <w:rPr>
          <w:rFonts w:hint="eastAsia" w:ascii="仿宋" w:hAnsi="仿宋" w:eastAsia="仿宋" w:cs="仿宋"/>
          <w:b w:val="0"/>
          <w:bCs w:val="0"/>
          <w:lang w:eastAsia="zh-CN"/>
        </w:rPr>
        <w:t>；</w:t>
      </w:r>
      <w:r>
        <w:rPr>
          <w:rFonts w:hint="eastAsia" w:ascii="仿宋" w:hAnsi="仿宋" w:eastAsia="仿宋" w:cs="仿宋"/>
          <w:b w:val="0"/>
          <w:bCs w:val="0"/>
        </w:rPr>
        <w:t>2</w:t>
      </w:r>
      <w:r>
        <w:rPr>
          <w:rFonts w:hint="eastAsia" w:ascii="仿宋" w:hAnsi="仿宋" w:eastAsia="仿宋" w:cs="仿宋"/>
          <w:b w:val="0"/>
          <w:bCs w:val="0"/>
          <w:lang w:eastAsia="zh-CN"/>
        </w:rPr>
        <w:t>、</w:t>
      </w:r>
      <w:r>
        <w:rPr>
          <w:rFonts w:hint="eastAsia" w:ascii="仿宋" w:hAnsi="仿宋" w:eastAsia="仿宋" w:cs="仿宋"/>
          <w:b w:val="0"/>
          <w:bCs w:val="0"/>
          <w:lang w:val="en-US" w:eastAsia="zh-CN"/>
        </w:rPr>
        <w:t>在进场检测前，</w:t>
      </w:r>
      <w:r>
        <w:rPr>
          <w:rFonts w:hint="eastAsia" w:ascii="仿宋" w:hAnsi="仿宋" w:eastAsia="仿宋" w:cs="仿宋"/>
          <w:b w:val="0"/>
          <w:bCs w:val="0"/>
        </w:rPr>
        <w:t>所有乙方进场人员必须提供进场人员名单及人员资质，施</w:t>
      </w:r>
      <w:r>
        <w:rPr>
          <w:rFonts w:hint="eastAsia" w:ascii="仿宋" w:hAnsi="仿宋" w:eastAsia="仿宋" w:cs="仿宋"/>
          <w:b w:val="0"/>
          <w:bCs w:val="0"/>
          <w:lang w:val="en-US" w:eastAsia="zh-CN"/>
        </w:rPr>
        <w:t>工</w:t>
      </w:r>
      <w:r>
        <w:rPr>
          <w:rFonts w:hint="eastAsia" w:ascii="仿宋" w:hAnsi="仿宋" w:eastAsia="仿宋" w:cs="仿宋"/>
          <w:b w:val="0"/>
          <w:bCs w:val="0"/>
        </w:rPr>
        <w:t>现场不</w:t>
      </w:r>
      <w:r>
        <w:rPr>
          <w:rFonts w:hint="eastAsia" w:ascii="仿宋" w:hAnsi="仿宋" w:eastAsia="仿宋" w:cs="仿宋"/>
          <w:b w:val="0"/>
          <w:bCs w:val="0"/>
          <w:lang w:val="en-US" w:eastAsia="zh-CN"/>
        </w:rPr>
        <w:t>得</w:t>
      </w:r>
      <w:r>
        <w:rPr>
          <w:rFonts w:hint="eastAsia" w:ascii="仿宋" w:hAnsi="仿宋" w:eastAsia="仿宋" w:cs="仿宋"/>
          <w:b w:val="0"/>
          <w:bCs w:val="0"/>
        </w:rPr>
        <w:t>违规操作，损坏公物照价赔偿，人身生命财产安全自负。3</w:t>
      </w:r>
      <w:r>
        <w:rPr>
          <w:rFonts w:hint="eastAsia" w:ascii="仿宋" w:hAnsi="仿宋" w:eastAsia="仿宋" w:cs="仿宋"/>
          <w:b w:val="0"/>
          <w:bCs w:val="0"/>
          <w:lang w:eastAsia="zh-CN"/>
        </w:rPr>
        <w:t>、</w:t>
      </w:r>
      <w:r>
        <w:rPr>
          <w:rFonts w:hint="eastAsia" w:ascii="仿宋" w:hAnsi="仿宋" w:eastAsia="仿宋" w:cs="仿宋"/>
          <w:b w:val="0"/>
          <w:bCs w:val="0"/>
        </w:rPr>
        <w:t>强电间</w:t>
      </w:r>
      <w:r>
        <w:rPr>
          <w:rFonts w:hint="eastAsia" w:ascii="仿宋" w:hAnsi="仿宋" w:eastAsia="仿宋" w:cs="仿宋"/>
          <w:b w:val="0"/>
          <w:bCs w:val="0"/>
          <w:lang w:val="en-US" w:eastAsia="zh-CN"/>
        </w:rPr>
        <w:t>测试</w:t>
      </w:r>
      <w:r>
        <w:rPr>
          <w:rFonts w:hint="eastAsia" w:ascii="仿宋" w:hAnsi="仿宋" w:eastAsia="仿宋" w:cs="仿宋"/>
          <w:b w:val="0"/>
          <w:bCs w:val="0"/>
        </w:rPr>
        <w:t>在</w:t>
      </w:r>
      <w:r>
        <w:rPr>
          <w:rFonts w:hint="eastAsia" w:ascii="仿宋" w:hAnsi="仿宋" w:eastAsia="仿宋" w:cs="仿宋"/>
          <w:b w:val="0"/>
          <w:bCs w:val="0"/>
          <w:lang w:val="en-US" w:eastAsia="zh-CN"/>
        </w:rPr>
        <w:t>关键</w:t>
      </w:r>
      <w:r>
        <w:rPr>
          <w:rFonts w:hint="eastAsia" w:ascii="仿宋" w:hAnsi="仿宋" w:eastAsia="仿宋" w:cs="仿宋"/>
          <w:b w:val="0"/>
          <w:bCs w:val="0"/>
        </w:rPr>
        <w:t>区域乙方需与甲方协调在非工作时间检测或分</w:t>
      </w:r>
      <w:r>
        <w:rPr>
          <w:rFonts w:hint="eastAsia" w:ascii="仿宋" w:hAnsi="仿宋" w:eastAsia="仿宋" w:cs="仿宋"/>
          <w:b w:val="0"/>
          <w:bCs w:val="0"/>
          <w:lang w:val="en-US" w:eastAsia="zh-CN"/>
        </w:rPr>
        <w:t>区域</w:t>
      </w:r>
      <w:r>
        <w:rPr>
          <w:rFonts w:hint="eastAsia" w:ascii="仿宋" w:hAnsi="仿宋" w:eastAsia="仿宋" w:cs="仿宋"/>
          <w:b w:val="0"/>
          <w:bCs w:val="0"/>
        </w:rPr>
        <w:t>先后检测</w:t>
      </w:r>
      <w:r>
        <w:rPr>
          <w:rFonts w:hint="eastAsia" w:ascii="仿宋" w:hAnsi="仿宋" w:eastAsia="仿宋" w:cs="仿宋"/>
          <w:b w:val="0"/>
          <w:bCs w:val="0"/>
          <w:lang w:eastAsia="zh-CN"/>
        </w:rPr>
        <w:t>；</w:t>
      </w:r>
      <w:r>
        <w:rPr>
          <w:rFonts w:hint="eastAsia" w:ascii="仿宋" w:hAnsi="仿宋" w:eastAsia="仿宋" w:cs="仿宋"/>
          <w:b w:val="0"/>
          <w:bCs w:val="0"/>
        </w:rPr>
        <w:t>4</w:t>
      </w:r>
      <w:r>
        <w:rPr>
          <w:rFonts w:hint="eastAsia" w:ascii="仿宋" w:hAnsi="仿宋" w:eastAsia="仿宋" w:cs="仿宋"/>
          <w:b w:val="0"/>
          <w:bCs w:val="0"/>
          <w:lang w:eastAsia="zh-CN"/>
        </w:rPr>
        <w:t>、</w:t>
      </w:r>
      <w:r>
        <w:rPr>
          <w:rFonts w:hint="eastAsia" w:ascii="仿宋" w:hAnsi="仿宋" w:eastAsia="仿宋" w:cs="仿宋"/>
          <w:b w:val="0"/>
          <w:bCs w:val="0"/>
        </w:rPr>
        <w:t>乙方须如实向甲方报告设备的运转状况、设备</w:t>
      </w:r>
      <w:r>
        <w:rPr>
          <w:rFonts w:hint="eastAsia" w:ascii="仿宋" w:hAnsi="仿宋" w:eastAsia="仿宋" w:cs="仿宋"/>
          <w:b w:val="0"/>
          <w:bCs w:val="0"/>
          <w:lang w:val="en-US" w:eastAsia="zh-CN"/>
        </w:rPr>
        <w:t>故障</w:t>
      </w:r>
      <w:r>
        <w:rPr>
          <w:rFonts w:hint="eastAsia" w:ascii="仿宋" w:hAnsi="仿宋" w:eastAsia="仿宋" w:cs="仿宋"/>
          <w:b w:val="0"/>
          <w:bCs w:val="0"/>
        </w:rPr>
        <w:t>处理情况、停机及恢复时间。5</w:t>
      </w:r>
      <w:r>
        <w:rPr>
          <w:rFonts w:hint="eastAsia" w:ascii="仿宋" w:hAnsi="仿宋" w:eastAsia="仿宋" w:cs="仿宋"/>
          <w:b w:val="0"/>
          <w:bCs w:val="0"/>
          <w:lang w:eastAsia="zh-CN"/>
        </w:rPr>
        <w:t>、</w:t>
      </w:r>
      <w:r>
        <w:rPr>
          <w:rFonts w:hint="eastAsia" w:ascii="仿宋" w:hAnsi="仿宋" w:eastAsia="仿宋" w:cs="仿宋"/>
          <w:b w:val="0"/>
          <w:bCs w:val="0"/>
        </w:rPr>
        <w:t>如有故障，乙方应2小时内到场，24小时内解决。6</w:t>
      </w:r>
      <w:r>
        <w:rPr>
          <w:rFonts w:hint="eastAsia" w:ascii="仿宋" w:hAnsi="仿宋" w:eastAsia="仿宋" w:cs="仿宋"/>
          <w:b w:val="0"/>
          <w:bCs w:val="0"/>
          <w:lang w:eastAsia="zh-CN"/>
        </w:rPr>
        <w:t>、</w:t>
      </w:r>
      <w:r>
        <w:rPr>
          <w:rFonts w:hint="eastAsia" w:ascii="仿宋" w:hAnsi="仿宋" w:eastAsia="仿宋" w:cs="仿宋"/>
          <w:b w:val="0"/>
          <w:bCs w:val="0"/>
        </w:rPr>
        <w:t>乙方必须高度重视，出具实施方案及应急</w:t>
      </w:r>
      <w:r>
        <w:rPr>
          <w:rFonts w:hint="eastAsia" w:ascii="仿宋" w:hAnsi="仿宋" w:eastAsia="仿宋" w:cs="仿宋"/>
          <w:b w:val="0"/>
          <w:bCs w:val="0"/>
          <w:lang w:val="en-US" w:eastAsia="zh-CN"/>
        </w:rPr>
        <w:t>预</w:t>
      </w:r>
      <w:r>
        <w:rPr>
          <w:rFonts w:hint="eastAsia" w:ascii="仿宋" w:hAnsi="仿宋" w:eastAsia="仿宋" w:cs="仿宋"/>
          <w:b w:val="0"/>
          <w:bCs w:val="0"/>
        </w:rPr>
        <w:t>案，保证质量及安全，</w:t>
      </w:r>
      <w:r>
        <w:rPr>
          <w:rFonts w:hint="eastAsia" w:ascii="仿宋" w:hAnsi="仿宋" w:eastAsia="仿宋" w:cs="仿宋"/>
          <w:b w:val="0"/>
          <w:bCs w:val="0"/>
          <w:lang w:val="en-US" w:eastAsia="zh-CN"/>
        </w:rPr>
        <w:t>乙方应</w:t>
      </w:r>
      <w:r>
        <w:rPr>
          <w:rFonts w:hint="eastAsia" w:ascii="仿宋" w:hAnsi="仿宋" w:eastAsia="仿宋" w:cs="仿宋"/>
          <w:b w:val="0"/>
          <w:bCs w:val="0"/>
        </w:rPr>
        <w:t>录像或拍照留存资料。7</w:t>
      </w:r>
      <w:r>
        <w:rPr>
          <w:rFonts w:hint="eastAsia" w:ascii="仿宋" w:hAnsi="仿宋" w:eastAsia="仿宋" w:cs="仿宋"/>
          <w:b w:val="0"/>
          <w:bCs w:val="0"/>
          <w:lang w:eastAsia="zh-CN"/>
        </w:rPr>
        <w:t>、</w:t>
      </w:r>
      <w:r>
        <w:rPr>
          <w:rFonts w:hint="eastAsia" w:ascii="仿宋" w:hAnsi="仿宋" w:eastAsia="仿宋" w:cs="仿宋"/>
          <w:b w:val="0"/>
          <w:bCs w:val="0"/>
        </w:rPr>
        <w:t>乙方在测试明间必须与电力</w:t>
      </w:r>
      <w:r>
        <w:rPr>
          <w:rFonts w:hint="eastAsia" w:ascii="仿宋" w:hAnsi="仿宋" w:eastAsia="仿宋" w:cs="仿宋"/>
          <w:b w:val="0"/>
          <w:bCs w:val="0"/>
          <w:lang w:val="en-US" w:eastAsia="zh-CN"/>
        </w:rPr>
        <w:t>部门协调</w:t>
      </w:r>
      <w:r>
        <w:rPr>
          <w:rFonts w:hint="eastAsia" w:ascii="仿宋" w:hAnsi="仿宋" w:eastAsia="仿宋" w:cs="仿宋"/>
          <w:b w:val="0"/>
          <w:bCs w:val="0"/>
        </w:rPr>
        <w:t>进行充分沟通，必要时要向电力公司进行报备。</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val="0"/>
        </w:rPr>
      </w:pPr>
      <w:r>
        <w:rPr>
          <w:rFonts w:hint="eastAsia" w:ascii="仿宋" w:hAnsi="仿宋" w:eastAsia="仿宋" w:cs="仿宋"/>
          <w:b/>
          <w:bCs/>
        </w:rPr>
        <w:t>第五条 交付和验收</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lang w:eastAsia="zh-CN"/>
        </w:rPr>
      </w:pPr>
      <w:r>
        <w:rPr>
          <w:rFonts w:hint="eastAsia" w:ascii="仿宋" w:hAnsi="仿宋" w:eastAsia="仿宋" w:cs="仿宋"/>
          <w:b w:val="0"/>
          <w:bCs w:val="0"/>
        </w:rPr>
        <w:t>乙方</w:t>
      </w:r>
      <w:r>
        <w:rPr>
          <w:rFonts w:hint="eastAsia" w:ascii="仿宋" w:hAnsi="仿宋" w:eastAsia="仿宋" w:cs="仿宋"/>
          <w:b w:val="0"/>
          <w:bCs w:val="0"/>
          <w:lang w:val="en-US" w:eastAsia="zh-CN"/>
        </w:rPr>
        <w:t>按</w:t>
      </w:r>
      <w:r>
        <w:rPr>
          <w:rFonts w:hint="eastAsia" w:ascii="仿宋" w:hAnsi="仿宋" w:eastAsia="仿宋" w:cs="仿宋"/>
          <w:b w:val="0"/>
          <w:bCs w:val="0"/>
        </w:rPr>
        <w:t>甲方同意的施工方案及施工时间，落实安全技术措施和进度计划组织测试</w:t>
      </w:r>
      <w:r>
        <w:rPr>
          <w:rFonts w:hint="eastAsia" w:ascii="仿宋" w:hAnsi="仿宋" w:eastAsia="仿宋" w:cs="仿宋"/>
          <w:b w:val="0"/>
          <w:bCs w:val="0"/>
          <w:lang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val="0"/>
          <w:bCs w:val="0"/>
        </w:rPr>
      </w:pPr>
      <w:r>
        <w:rPr>
          <w:rFonts w:hint="eastAsia" w:ascii="仿宋" w:hAnsi="仿宋" w:eastAsia="仿宋" w:cs="仿宋"/>
          <w:b/>
          <w:bCs/>
        </w:rPr>
        <w:t>时间要求</w:t>
      </w:r>
      <w:r>
        <w:rPr>
          <w:rFonts w:hint="eastAsia" w:ascii="仿宋" w:hAnsi="仿宋" w:eastAsia="仿宋" w:cs="仿宋"/>
          <w:b w:val="0"/>
          <w:bCs w:val="0"/>
        </w:rPr>
        <w:t>:在甲方</w:t>
      </w:r>
      <w:r>
        <w:rPr>
          <w:rFonts w:hint="eastAsia" w:ascii="仿宋" w:hAnsi="仿宋" w:eastAsia="仿宋" w:cs="仿宋"/>
          <w:b w:val="0"/>
          <w:bCs w:val="0"/>
          <w:lang w:val="en-US" w:eastAsia="zh-CN"/>
        </w:rPr>
        <w:t>通知</w:t>
      </w:r>
      <w:r>
        <w:rPr>
          <w:rFonts w:hint="eastAsia" w:ascii="仿宋" w:hAnsi="仿宋" w:eastAsia="仿宋" w:cs="仿宋"/>
          <w:b w:val="0"/>
          <w:bCs w:val="0"/>
        </w:rPr>
        <w:t>现场具备测试条件之日起7日内完成测试，并在完成测试7日内出具检测报告，并积极配合甲方与第三方权威检测机构的验收。</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bCs/>
        </w:rPr>
      </w:pPr>
      <w:r>
        <w:rPr>
          <w:rFonts w:hint="eastAsia" w:ascii="仿宋" w:hAnsi="仿宋" w:eastAsia="仿宋" w:cs="仿宋"/>
          <w:b/>
          <w:bCs/>
        </w:rPr>
        <w:t>第六条 紧急情况</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rPr>
      </w:pPr>
      <w:r>
        <w:rPr>
          <w:rFonts w:hint="eastAsia" w:ascii="仿宋" w:hAnsi="仿宋" w:eastAsia="仿宋" w:cs="仿宋"/>
          <w:b w:val="0"/>
          <w:bCs w:val="0"/>
        </w:rPr>
        <w:t>本协议不含设备在日常运行中发生的故障处理和事故抢修，这类性质的故障因不可预见，其费用按实际发生情况另行计算。在发生紧急事故时，乙方应立即采取措施，积极抢修，本着友好合作的宗旨，维修费用事后双方协商确定。</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rFonts w:hint="eastAsia" w:ascii="仿宋" w:hAnsi="仿宋" w:eastAsia="仿宋" w:cs="仿宋"/>
          <w:b/>
          <w:bCs/>
        </w:rPr>
      </w:pPr>
      <w:r>
        <w:rPr>
          <w:rFonts w:hint="eastAsia" w:ascii="仿宋" w:hAnsi="仿宋" w:eastAsia="仿宋" w:cs="仿宋"/>
          <w:b/>
          <w:bCs/>
        </w:rPr>
        <w:t>第七条 违约责任</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rPr>
      </w:pPr>
      <w:r>
        <w:rPr>
          <w:rFonts w:hint="eastAsia" w:ascii="仿宋" w:hAnsi="仿宋" w:eastAsia="仿宋" w:cs="仿宋"/>
          <w:b w:val="0"/>
          <w:bCs w:val="0"/>
        </w:rPr>
        <w:t>乙方不得逾期</w:t>
      </w:r>
      <w:r>
        <w:rPr>
          <w:rFonts w:hint="eastAsia" w:ascii="仿宋" w:hAnsi="仿宋" w:eastAsia="仿宋" w:cs="仿宋"/>
          <w:b w:val="0"/>
          <w:bCs w:val="0"/>
          <w:lang w:val="en-US" w:eastAsia="zh-CN"/>
        </w:rPr>
        <w:t>完</w:t>
      </w:r>
      <w:r>
        <w:rPr>
          <w:rFonts w:hint="eastAsia" w:ascii="仿宋" w:hAnsi="仿宋" w:eastAsia="仿宋" w:cs="仿宋"/>
          <w:b w:val="0"/>
          <w:bCs w:val="0"/>
        </w:rPr>
        <w:t>成工作，由此造成甲方的</w:t>
      </w:r>
      <w:r>
        <w:rPr>
          <w:rFonts w:hint="eastAsia" w:ascii="仿宋" w:hAnsi="仿宋" w:eastAsia="仿宋" w:cs="仿宋"/>
          <w:b w:val="0"/>
          <w:bCs w:val="0"/>
          <w:lang w:val="en-US" w:eastAsia="zh-CN"/>
        </w:rPr>
        <w:t>损失</w:t>
      </w:r>
      <w:r>
        <w:rPr>
          <w:rFonts w:hint="eastAsia" w:ascii="仿宋" w:hAnsi="仿宋" w:eastAsia="仿宋" w:cs="仿宋"/>
          <w:b w:val="0"/>
          <w:bCs w:val="0"/>
        </w:rPr>
        <w:t>须由乙方承担赔偿责任。每逾期一天，甲方</w:t>
      </w:r>
      <w:r>
        <w:rPr>
          <w:rFonts w:hint="eastAsia" w:ascii="仿宋" w:hAnsi="仿宋" w:eastAsia="仿宋" w:cs="仿宋"/>
          <w:b w:val="0"/>
          <w:bCs w:val="0"/>
          <w:lang w:val="en-US" w:eastAsia="zh-CN"/>
        </w:rPr>
        <w:t>按</w:t>
      </w:r>
      <w:r>
        <w:rPr>
          <w:rFonts w:hint="eastAsia" w:ascii="仿宋" w:hAnsi="仿宋" w:eastAsia="仿宋" w:cs="仿宋"/>
          <w:b w:val="0"/>
          <w:bCs w:val="0"/>
        </w:rPr>
        <w:t>合同总价的5</w:t>
      </w:r>
      <w:r>
        <w:rPr>
          <w:rFonts w:hint="eastAsia" w:ascii="仿宋" w:hAnsi="仿宋" w:eastAsia="仿宋" w:cs="仿宋"/>
          <w:b w:val="0"/>
          <w:bCs w:val="0"/>
          <w:lang w:val="en-US" w:eastAsia="zh-CN"/>
        </w:rPr>
        <w:t>%</w:t>
      </w:r>
      <w:r>
        <w:rPr>
          <w:rFonts w:hint="eastAsia" w:ascii="仿宋" w:hAnsi="仿宋" w:eastAsia="仿宋" w:cs="仿宋"/>
          <w:b w:val="0"/>
          <w:bCs w:val="0"/>
        </w:rPr>
        <w:t>收取滞纳金。如乙方逾期结束测试达10天，甲方有权解除合同。</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rPr>
      </w:pPr>
      <w:r>
        <w:rPr>
          <w:rFonts w:hint="eastAsia" w:ascii="仿宋" w:hAnsi="仿宋" w:eastAsia="仿宋" w:cs="仿宋"/>
          <w:b w:val="0"/>
          <w:bCs w:val="0"/>
        </w:rPr>
        <w:t>乙方虚假承诺，或经权威部门检测提供的服务不能满足甲方的要求，或是由于乙方的过错造成合同无法继续覆行的，乙方</w:t>
      </w:r>
      <w:r>
        <w:rPr>
          <w:rFonts w:hint="eastAsia" w:ascii="仿宋" w:hAnsi="仿宋" w:eastAsia="仿宋" w:cs="仿宋"/>
          <w:b w:val="0"/>
          <w:bCs w:val="0"/>
          <w:lang w:val="en-US" w:eastAsia="zh-CN"/>
        </w:rPr>
        <w:t>按</w:t>
      </w:r>
      <w:r>
        <w:rPr>
          <w:rFonts w:hint="eastAsia" w:ascii="仿宋" w:hAnsi="仿宋" w:eastAsia="仿宋" w:cs="仿宋"/>
          <w:b w:val="0"/>
          <w:bCs w:val="0"/>
        </w:rPr>
        <w:t>合同总价的30</w:t>
      </w:r>
      <w:r>
        <w:rPr>
          <w:rFonts w:hint="eastAsia" w:ascii="仿宋" w:hAnsi="仿宋" w:eastAsia="仿宋" w:cs="仿宋"/>
          <w:b w:val="0"/>
          <w:bCs w:val="0"/>
          <w:lang w:val="en-US" w:eastAsia="zh-CN"/>
        </w:rPr>
        <w:t>%</w:t>
      </w:r>
      <w:r>
        <w:rPr>
          <w:rFonts w:hint="eastAsia" w:ascii="仿宋" w:hAnsi="仿宋" w:eastAsia="仿宋" w:cs="仿宋"/>
          <w:b w:val="0"/>
          <w:bCs w:val="0"/>
        </w:rPr>
        <w:t>赔偿给甲方，同时将被列入我院采购黑名单。</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rPr>
      </w:pPr>
      <w:r>
        <w:rPr>
          <w:rFonts w:hint="eastAsia" w:ascii="仿宋" w:hAnsi="仿宋" w:eastAsia="仿宋" w:cs="仿宋"/>
          <w:b w:val="0"/>
          <w:bCs w:val="0"/>
        </w:rPr>
        <w:t>如乙方出具的检测报告不符合合同条款约定，且经甲方与其他权威机构确认，检测报告无效或不具有法律效力的,甲方有权追究乙方责任，乙方需付合同总价50</w:t>
      </w:r>
      <w:r>
        <w:rPr>
          <w:rFonts w:hint="eastAsia" w:ascii="仿宋" w:hAnsi="仿宋" w:eastAsia="仿宋" w:cs="仿宋"/>
          <w:b w:val="0"/>
          <w:bCs w:val="0"/>
          <w:lang w:val="en-US" w:eastAsia="zh-CN"/>
        </w:rPr>
        <w:t>%</w:t>
      </w:r>
      <w:r>
        <w:rPr>
          <w:rFonts w:hint="eastAsia" w:ascii="仿宋" w:hAnsi="仿宋" w:eastAsia="仿宋" w:cs="仿宋"/>
          <w:b w:val="0"/>
          <w:bCs w:val="0"/>
        </w:rPr>
        <w:t>的违约金，如因</w:t>
      </w:r>
      <w:r>
        <w:rPr>
          <w:rFonts w:hint="eastAsia" w:ascii="仿宋" w:hAnsi="仿宋" w:eastAsia="仿宋" w:cs="仿宋"/>
          <w:b w:val="0"/>
          <w:bCs w:val="0"/>
          <w:lang w:val="en-US" w:eastAsia="zh-CN"/>
        </w:rPr>
        <w:t>检测</w:t>
      </w:r>
      <w:r>
        <w:rPr>
          <w:rFonts w:hint="eastAsia" w:ascii="仿宋" w:hAnsi="仿宋" w:eastAsia="仿宋" w:cs="仿宋"/>
          <w:b w:val="0"/>
          <w:bCs w:val="0"/>
        </w:rPr>
        <w:t>不达标造成甲方损失或引起纠纷，由乙方承担责任。</w:t>
      </w:r>
      <w:r>
        <w:rPr>
          <w:rFonts w:hint="eastAsia" w:ascii="仿宋" w:hAnsi="仿宋" w:eastAsia="仿宋" w:cs="仿宋"/>
          <w:b w:val="0"/>
          <w:bCs w:val="0"/>
          <w:lang w:val="en-US" w:eastAsia="zh-CN"/>
        </w:rPr>
        <w:t>赔偿</w:t>
      </w:r>
      <w:r>
        <w:rPr>
          <w:rFonts w:hint="eastAsia" w:ascii="仿宋" w:hAnsi="仿宋" w:eastAsia="仿宋" w:cs="仿宋"/>
          <w:b w:val="0"/>
          <w:bCs w:val="0"/>
        </w:rPr>
        <w:t>和追责由</w:t>
      </w:r>
      <w:r>
        <w:rPr>
          <w:rFonts w:hint="eastAsia" w:ascii="仿宋" w:hAnsi="仿宋" w:eastAsia="仿宋" w:cs="仿宋"/>
          <w:b w:val="0"/>
          <w:bCs w:val="0"/>
          <w:lang w:val="en-US" w:eastAsia="zh-CN"/>
        </w:rPr>
        <w:t>基建办</w:t>
      </w:r>
      <w:r>
        <w:rPr>
          <w:rFonts w:hint="eastAsia" w:ascii="仿宋" w:hAnsi="仿宋" w:eastAsia="仿宋" w:cs="仿宋"/>
          <w:b w:val="0"/>
          <w:bCs w:val="0"/>
        </w:rPr>
        <w:t>跟进。</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rPr>
      </w:pPr>
      <w:r>
        <w:rPr>
          <w:rFonts w:hint="eastAsia" w:ascii="仿宋" w:hAnsi="仿宋" w:eastAsia="仿宋" w:cs="仿宋"/>
          <w:b w:val="0"/>
          <w:bCs w:val="0"/>
        </w:rPr>
        <w:t>检测完成后一年内，甲方如发现有测试不力造成的问题(人为因素除外)，由甲方及时通知乙方进行复检，如乙方拒绝</w:t>
      </w:r>
      <w:r>
        <w:rPr>
          <w:rFonts w:hint="eastAsia" w:ascii="仿宋" w:hAnsi="仿宋" w:eastAsia="仿宋" w:cs="仿宋"/>
          <w:b w:val="0"/>
          <w:bCs w:val="0"/>
          <w:lang w:val="en-US" w:eastAsia="zh-CN"/>
        </w:rPr>
        <w:t>复检</w:t>
      </w:r>
      <w:r>
        <w:rPr>
          <w:rFonts w:hint="eastAsia" w:ascii="仿宋" w:hAnsi="仿宋" w:eastAsia="仿宋" w:cs="仿宋"/>
          <w:b w:val="0"/>
          <w:bCs w:val="0"/>
        </w:rPr>
        <w:t>，甲方有权对</w:t>
      </w:r>
      <w:r>
        <w:rPr>
          <w:rFonts w:hint="eastAsia" w:ascii="仿宋" w:hAnsi="仿宋" w:eastAsia="仿宋" w:cs="仿宋"/>
          <w:b w:val="0"/>
          <w:bCs w:val="0"/>
          <w:lang w:val="en-US" w:eastAsia="zh-CN"/>
        </w:rPr>
        <w:t>乙方</w:t>
      </w:r>
      <w:r>
        <w:rPr>
          <w:rFonts w:hint="eastAsia" w:ascii="仿宋" w:hAnsi="仿宋" w:eastAsia="仿宋" w:cs="仿宋"/>
          <w:b w:val="0"/>
          <w:bCs w:val="0"/>
        </w:rPr>
        <w:t>进行追偿50%的违约金。</w:t>
      </w:r>
    </w:p>
    <w:p>
      <w:pPr>
        <w:pStyle w:val="1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rPr>
      </w:pPr>
      <w:r>
        <w:rPr>
          <w:rFonts w:hint="eastAsia" w:ascii="仿宋" w:hAnsi="仿宋" w:eastAsia="仿宋" w:cs="仿宋"/>
          <w:b w:val="0"/>
          <w:bCs w:val="0"/>
        </w:rPr>
        <w:t>乙方施工过程中或服务期内，如项目接收上级部门验收时未通过验收，或有重大测试不力造成的使用问题，甲方因此造成的损失，由乙方负全责，且甲方可对乙方追索合同总价的50</w:t>
      </w:r>
      <w:r>
        <w:rPr>
          <w:rFonts w:hint="eastAsia" w:ascii="仿宋" w:hAnsi="仿宋" w:eastAsia="仿宋" w:cs="仿宋"/>
          <w:b w:val="0"/>
          <w:bCs w:val="0"/>
          <w:lang w:val="en-US" w:eastAsia="zh-CN"/>
        </w:rPr>
        <w:t>%</w:t>
      </w:r>
      <w:r>
        <w:rPr>
          <w:rFonts w:hint="eastAsia" w:ascii="仿宋" w:hAnsi="仿宋" w:eastAsia="仿宋" w:cs="仿宋"/>
          <w:b w:val="0"/>
          <w:bCs w:val="0"/>
        </w:rPr>
        <w:t>违约赔偿金。</w:t>
      </w:r>
    </w:p>
    <w:p>
      <w:pPr>
        <w:pStyle w:val="23"/>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b/>
          <w:bCs/>
        </w:rPr>
      </w:pPr>
      <w:r>
        <w:rPr>
          <w:rFonts w:hint="eastAsia"/>
          <w:b/>
          <w:bCs/>
          <w:lang w:val="en-US" w:eastAsia="zh-CN"/>
        </w:rPr>
        <w:t xml:space="preserve">第八条 </w:t>
      </w:r>
      <w:r>
        <w:rPr>
          <w:rFonts w:hint="eastAsia"/>
          <w:b/>
          <w:bCs/>
        </w:rPr>
        <w:t>合同的变更和终止</w:t>
      </w:r>
    </w:p>
    <w:p>
      <w:pPr>
        <w:ind w:firstLine="560"/>
        <w:rPr>
          <w:b w:val="0"/>
          <w:bCs w:val="0"/>
        </w:rPr>
      </w:pPr>
      <w:r>
        <w:rPr>
          <w:rFonts w:hint="eastAsia"/>
          <w:b w:val="0"/>
          <w:bCs w:val="0"/>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pStyle w:val="23"/>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b w:val="0"/>
          <w:bCs w:val="0"/>
        </w:rPr>
      </w:pPr>
      <w:r>
        <w:rPr>
          <w:rFonts w:hint="eastAsia" w:ascii="仿宋" w:hAnsi="仿宋" w:eastAsia="仿宋" w:cs="Times New Roman"/>
          <w:b/>
          <w:bCs/>
          <w:kern w:val="2"/>
          <w:sz w:val="28"/>
          <w:szCs w:val="28"/>
          <w:lang w:val="en-US" w:eastAsia="zh-CN" w:bidi="ar-SA"/>
        </w:rPr>
        <w:t>第</w:t>
      </w:r>
      <w:r>
        <w:rPr>
          <w:rFonts w:hint="eastAsia" w:cs="Times New Roman"/>
          <w:b/>
          <w:bCs/>
          <w:kern w:val="2"/>
          <w:sz w:val="28"/>
          <w:szCs w:val="28"/>
          <w:lang w:val="en-US" w:eastAsia="zh-CN" w:bidi="ar-SA"/>
        </w:rPr>
        <w:t>九</w:t>
      </w:r>
      <w:r>
        <w:rPr>
          <w:rFonts w:hint="eastAsia" w:ascii="仿宋" w:hAnsi="仿宋" w:eastAsia="仿宋" w:cs="Times New Roman"/>
          <w:b/>
          <w:bCs/>
          <w:kern w:val="2"/>
          <w:sz w:val="28"/>
          <w:szCs w:val="28"/>
          <w:lang w:val="en-US" w:eastAsia="zh-CN" w:bidi="ar-SA"/>
        </w:rPr>
        <w:t>条</w:t>
      </w:r>
      <w:r>
        <w:rPr>
          <w:rFonts w:hint="eastAsia" w:cs="Times New Roman"/>
          <w:b/>
          <w:bCs/>
          <w:kern w:val="2"/>
          <w:sz w:val="28"/>
          <w:szCs w:val="28"/>
          <w:lang w:val="en-US" w:eastAsia="zh-CN" w:bidi="ar-SA"/>
        </w:rPr>
        <w:t xml:space="preserve"> </w:t>
      </w:r>
      <w:r>
        <w:rPr>
          <w:rFonts w:hint="eastAsia"/>
          <w:b/>
          <w:bCs/>
        </w:rPr>
        <w:t>合同的转让</w:t>
      </w:r>
    </w:p>
    <w:p>
      <w:pPr>
        <w:ind w:firstLine="560"/>
        <w:rPr>
          <w:b w:val="0"/>
          <w:bCs w:val="0"/>
        </w:rPr>
      </w:pPr>
      <w:r>
        <w:rPr>
          <w:rFonts w:hint="eastAsia"/>
          <w:b w:val="0"/>
          <w:bCs w:val="0"/>
        </w:rPr>
        <w:t>乙方不得擅自部分或全部转让其应履行的合同义务。</w:t>
      </w:r>
    </w:p>
    <w:p>
      <w:pPr>
        <w:pStyle w:val="23"/>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b w:val="0"/>
          <w:bCs w:val="0"/>
        </w:rPr>
      </w:pPr>
      <w:r>
        <w:rPr>
          <w:rFonts w:hint="eastAsia" w:ascii="仿宋" w:hAnsi="仿宋" w:eastAsia="仿宋" w:cs="Times New Roman"/>
          <w:b/>
          <w:bCs/>
          <w:kern w:val="2"/>
          <w:sz w:val="28"/>
          <w:szCs w:val="28"/>
          <w:lang w:val="en-US" w:eastAsia="zh-CN" w:bidi="ar-SA"/>
        </w:rPr>
        <w:t>第</w:t>
      </w:r>
      <w:r>
        <w:rPr>
          <w:rFonts w:hint="eastAsia" w:cs="Times New Roman"/>
          <w:b/>
          <w:bCs/>
          <w:kern w:val="2"/>
          <w:sz w:val="28"/>
          <w:szCs w:val="28"/>
          <w:lang w:val="en-US" w:eastAsia="zh-CN" w:bidi="ar-SA"/>
        </w:rPr>
        <w:t>十</w:t>
      </w:r>
      <w:r>
        <w:rPr>
          <w:rFonts w:hint="eastAsia" w:ascii="仿宋" w:hAnsi="仿宋" w:eastAsia="仿宋" w:cs="Times New Roman"/>
          <w:b/>
          <w:bCs/>
          <w:kern w:val="2"/>
          <w:sz w:val="28"/>
          <w:szCs w:val="28"/>
          <w:lang w:val="en-US" w:eastAsia="zh-CN" w:bidi="ar-SA"/>
        </w:rPr>
        <w:t>条</w:t>
      </w:r>
      <w:r>
        <w:rPr>
          <w:rFonts w:hint="eastAsia" w:cs="Times New Roman"/>
          <w:b/>
          <w:bCs/>
          <w:kern w:val="2"/>
          <w:sz w:val="28"/>
          <w:szCs w:val="28"/>
          <w:lang w:val="en-US" w:eastAsia="zh-CN" w:bidi="ar-SA"/>
        </w:rPr>
        <w:t xml:space="preserve"> </w:t>
      </w:r>
      <w:r>
        <w:rPr>
          <w:rFonts w:hint="eastAsia"/>
          <w:b/>
          <w:bCs/>
        </w:rPr>
        <w:t>争议的解决</w:t>
      </w:r>
    </w:p>
    <w:p>
      <w:pPr>
        <w:ind w:firstLine="560"/>
        <w:rPr>
          <w:b w:val="0"/>
          <w:bCs w:val="0"/>
        </w:rPr>
      </w:pPr>
      <w:r>
        <w:rPr>
          <w:rFonts w:hint="eastAsia"/>
          <w:b w:val="0"/>
          <w:bCs w:val="0"/>
        </w:rPr>
        <w:t>因履行本合同引起的或与本合同有关的争议，甲、乙双方应首先通过友好协商解决，如果协商不能解决争议，可向甲方所在地有管辖权的人民法院提起诉讼。在诉讼期间，本合同应继续履行。</w:t>
      </w:r>
    </w:p>
    <w:p>
      <w:pPr>
        <w:pStyle w:val="23"/>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b w:val="0"/>
          <w:bCs w:val="0"/>
        </w:rPr>
      </w:pPr>
      <w:r>
        <w:rPr>
          <w:rFonts w:hint="eastAsia" w:ascii="仿宋" w:hAnsi="仿宋" w:eastAsia="仿宋" w:cs="Times New Roman"/>
          <w:b/>
          <w:bCs/>
          <w:kern w:val="2"/>
          <w:sz w:val="28"/>
          <w:szCs w:val="28"/>
          <w:lang w:val="en-US" w:eastAsia="zh-CN" w:bidi="ar-SA"/>
        </w:rPr>
        <w:t>第</w:t>
      </w:r>
      <w:r>
        <w:rPr>
          <w:rFonts w:hint="eastAsia" w:cs="Times New Roman"/>
          <w:b/>
          <w:bCs/>
          <w:kern w:val="2"/>
          <w:sz w:val="28"/>
          <w:szCs w:val="28"/>
          <w:lang w:val="en-US" w:eastAsia="zh-CN" w:bidi="ar-SA"/>
        </w:rPr>
        <w:t>十一</w:t>
      </w:r>
      <w:r>
        <w:rPr>
          <w:rFonts w:hint="eastAsia" w:ascii="仿宋" w:hAnsi="仿宋" w:eastAsia="仿宋" w:cs="Times New Roman"/>
          <w:b/>
          <w:bCs/>
          <w:kern w:val="2"/>
          <w:sz w:val="28"/>
          <w:szCs w:val="28"/>
          <w:lang w:val="en-US" w:eastAsia="zh-CN" w:bidi="ar-SA"/>
        </w:rPr>
        <w:t>条</w:t>
      </w:r>
      <w:r>
        <w:rPr>
          <w:rFonts w:hint="eastAsia" w:cs="Times New Roman"/>
          <w:b/>
          <w:bCs/>
          <w:kern w:val="2"/>
          <w:sz w:val="28"/>
          <w:szCs w:val="28"/>
          <w:lang w:val="en-US" w:eastAsia="zh-CN" w:bidi="ar-SA"/>
        </w:rPr>
        <w:t xml:space="preserve"> </w:t>
      </w:r>
      <w:r>
        <w:rPr>
          <w:rFonts w:hint="eastAsia"/>
          <w:b/>
          <w:bCs/>
        </w:rPr>
        <w:t>诚实信用</w:t>
      </w:r>
    </w:p>
    <w:p>
      <w:pPr>
        <w:ind w:firstLine="560"/>
        <w:rPr>
          <w:b w:val="0"/>
          <w:bCs w:val="0"/>
        </w:rPr>
      </w:pPr>
      <w:r>
        <w:rPr>
          <w:rFonts w:hint="eastAsia"/>
          <w:b w:val="0"/>
          <w:bCs w:val="0"/>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pStyle w:val="23"/>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rPr>
          <w:b/>
          <w:bCs/>
        </w:rPr>
      </w:pPr>
      <w:r>
        <w:rPr>
          <w:rFonts w:hint="eastAsia" w:ascii="仿宋" w:hAnsi="仿宋" w:eastAsia="仿宋" w:cs="Times New Roman"/>
          <w:b/>
          <w:bCs/>
          <w:kern w:val="2"/>
          <w:sz w:val="28"/>
          <w:szCs w:val="28"/>
          <w:lang w:val="en-US" w:eastAsia="zh-CN" w:bidi="ar-SA"/>
        </w:rPr>
        <w:t>第</w:t>
      </w:r>
      <w:r>
        <w:rPr>
          <w:rFonts w:hint="eastAsia" w:cs="Times New Roman"/>
          <w:b/>
          <w:bCs/>
          <w:kern w:val="2"/>
          <w:sz w:val="28"/>
          <w:szCs w:val="28"/>
          <w:lang w:val="en-US" w:eastAsia="zh-CN" w:bidi="ar-SA"/>
        </w:rPr>
        <w:t>十二</w:t>
      </w:r>
      <w:r>
        <w:rPr>
          <w:rFonts w:hint="eastAsia" w:ascii="仿宋" w:hAnsi="仿宋" w:eastAsia="仿宋" w:cs="Times New Roman"/>
          <w:b/>
          <w:bCs/>
          <w:kern w:val="2"/>
          <w:sz w:val="28"/>
          <w:szCs w:val="28"/>
          <w:lang w:val="en-US" w:eastAsia="zh-CN" w:bidi="ar-SA"/>
        </w:rPr>
        <w:t>条</w:t>
      </w:r>
      <w:r>
        <w:rPr>
          <w:rFonts w:hint="eastAsia"/>
          <w:b/>
          <w:bCs/>
        </w:rPr>
        <w:t xml:space="preserve"> 合同生效及其他</w:t>
      </w:r>
    </w:p>
    <w:p>
      <w:pPr>
        <w:ind w:firstLine="560"/>
        <w:rPr>
          <w:rFonts w:hint="eastAsia"/>
          <w:b w:val="0"/>
          <w:bCs w:val="0"/>
        </w:rPr>
      </w:pPr>
      <w:r>
        <w:rPr>
          <w:rFonts w:hint="eastAsia"/>
          <w:b w:val="0"/>
          <w:bCs w:val="0"/>
        </w:rPr>
        <w:t>本合同经双方法定代表人或授权委托代表人签字或签章并加盖单位公章后生效。本合同正本一式叁份，具有同等法律效力，甲方执两份，乙方执壹份。本合同未尽事宜，遵照《民法典》有关条文执行。（以下无正文）</w:t>
      </w:r>
    </w:p>
    <w:p>
      <w:pPr>
        <w:pStyle w:val="25"/>
        <w:ind w:right="-351" w:firstLine="2530" w:firstLineChars="900"/>
        <w:rPr>
          <w:rFonts w:ascii="宋体" w:hAnsi="宋体" w:cs="宋体"/>
          <w:sz w:val="28"/>
          <w:szCs w:val="28"/>
          <w:lang w:bidi="zh-CN"/>
        </w:rPr>
      </w:pPr>
      <w:r>
        <w:rPr>
          <w:rFonts w:hint="eastAsia" w:ascii="宋体" w:hAnsi="宋体" w:cs="宋体"/>
          <w:sz w:val="28"/>
          <w:szCs w:val="28"/>
          <w:lang w:bidi="zh-CN"/>
        </w:rPr>
        <w:t>拟签订的合同文本（仅参考）</w:t>
      </w:r>
    </w:p>
    <w:tbl>
      <w:tblPr>
        <w:tblStyle w:val="16"/>
        <w:tblpPr w:leftFromText="180" w:rightFromText="180" w:vertAnchor="text" w:horzAnchor="page" w:tblpX="1862" w:tblpY="129"/>
        <w:tblOverlap w:val="never"/>
        <w:tblW w:w="9699" w:type="dxa"/>
        <w:tblInd w:w="0" w:type="dxa"/>
        <w:tblLayout w:type="fixed"/>
        <w:tblCellMar>
          <w:top w:w="0" w:type="dxa"/>
          <w:left w:w="108" w:type="dxa"/>
          <w:bottom w:w="0" w:type="dxa"/>
          <w:right w:w="108" w:type="dxa"/>
        </w:tblCellMar>
      </w:tblPr>
      <w:tblGrid>
        <w:gridCol w:w="3509"/>
        <w:gridCol w:w="6190"/>
      </w:tblGrid>
      <w:tr>
        <w:tblPrEx>
          <w:tblCellMar>
            <w:top w:w="0" w:type="dxa"/>
            <w:left w:w="108" w:type="dxa"/>
            <w:bottom w:w="0" w:type="dxa"/>
            <w:right w:w="108" w:type="dxa"/>
          </w:tblCellMar>
        </w:tblPrEx>
        <w:tc>
          <w:tcPr>
            <w:tcW w:w="3509" w:type="dxa"/>
            <w:tcBorders>
              <w:top w:val="nil"/>
              <w:left w:val="nil"/>
              <w:bottom w:val="nil"/>
              <w:right w:val="nil"/>
            </w:tcBorders>
          </w:tcPr>
          <w:p>
            <w:pPr>
              <w:autoSpaceDE w:val="0"/>
              <w:autoSpaceDN w:val="0"/>
              <w:adjustRightInd w:val="0"/>
              <w:spacing w:line="300" w:lineRule="exact"/>
              <w:jc w:val="left"/>
              <w:rPr>
                <w:rFonts w:ascii="宋体" w:hAnsi="宋体"/>
                <w:sz w:val="18"/>
                <w:szCs w:val="18"/>
              </w:rPr>
            </w:pPr>
            <w:r>
              <w:rPr>
                <w:rFonts w:hint="eastAsia" w:ascii="宋体" w:hAnsi="宋体"/>
                <w:sz w:val="18"/>
                <w:szCs w:val="18"/>
              </w:rPr>
              <w:t>甲  方：南京</w:t>
            </w:r>
            <w:r>
              <w:rPr>
                <w:rFonts w:ascii="宋体" w:hAnsi="宋体"/>
                <w:sz w:val="18"/>
                <w:szCs w:val="18"/>
              </w:rPr>
              <w:t>市溧水区人民医院</w:t>
            </w:r>
          </w:p>
        </w:tc>
        <w:tc>
          <w:tcPr>
            <w:tcW w:w="6190" w:type="dxa"/>
            <w:tcBorders>
              <w:top w:val="nil"/>
              <w:left w:val="nil"/>
              <w:bottom w:val="nil"/>
              <w:right w:val="nil"/>
            </w:tcBorders>
          </w:tcPr>
          <w:p>
            <w:pPr>
              <w:autoSpaceDE w:val="0"/>
              <w:autoSpaceDN w:val="0"/>
              <w:adjustRightInd w:val="0"/>
              <w:spacing w:line="300" w:lineRule="exact"/>
              <w:jc w:val="left"/>
              <w:rPr>
                <w:rFonts w:ascii="宋体" w:hAnsi="宋体"/>
                <w:sz w:val="18"/>
                <w:szCs w:val="18"/>
              </w:rPr>
            </w:pPr>
            <w:r>
              <w:rPr>
                <w:rFonts w:hint="eastAsia" w:ascii="宋体" w:hAnsi="宋体"/>
                <w:sz w:val="18"/>
                <w:szCs w:val="18"/>
              </w:rPr>
              <w:t>乙  方：</w:t>
            </w:r>
          </w:p>
        </w:tc>
      </w:tr>
      <w:tr>
        <w:tblPrEx>
          <w:tblCellMar>
            <w:top w:w="0" w:type="dxa"/>
            <w:left w:w="108" w:type="dxa"/>
            <w:bottom w:w="0" w:type="dxa"/>
            <w:right w:w="108" w:type="dxa"/>
          </w:tblCellMar>
        </w:tblPrEx>
        <w:tc>
          <w:tcPr>
            <w:tcW w:w="3509" w:type="dxa"/>
            <w:tcBorders>
              <w:top w:val="nil"/>
              <w:left w:val="nil"/>
              <w:bottom w:val="nil"/>
              <w:right w:val="nil"/>
            </w:tcBorders>
          </w:tcPr>
          <w:p>
            <w:pPr>
              <w:autoSpaceDE w:val="0"/>
              <w:autoSpaceDN w:val="0"/>
              <w:adjustRightInd w:val="0"/>
              <w:spacing w:line="300" w:lineRule="exact"/>
              <w:jc w:val="left"/>
              <w:rPr>
                <w:rFonts w:ascii="宋体" w:hAnsi="宋体"/>
                <w:sz w:val="18"/>
                <w:szCs w:val="18"/>
              </w:rPr>
            </w:pPr>
            <w:r>
              <w:rPr>
                <w:rFonts w:hint="eastAsia" w:ascii="宋体" w:hAnsi="宋体"/>
                <w:sz w:val="18"/>
                <w:szCs w:val="18"/>
              </w:rPr>
              <w:t>住所地：溧</w:t>
            </w:r>
            <w:r>
              <w:rPr>
                <w:rFonts w:ascii="宋体" w:hAnsi="宋体"/>
                <w:sz w:val="18"/>
                <w:szCs w:val="18"/>
              </w:rPr>
              <w:t>水区</w:t>
            </w:r>
            <w:r>
              <w:rPr>
                <w:rFonts w:hint="eastAsia" w:ascii="宋体" w:hAnsi="宋体"/>
                <w:sz w:val="18"/>
                <w:szCs w:val="18"/>
              </w:rPr>
              <w:t>永</w:t>
            </w:r>
            <w:r>
              <w:rPr>
                <w:rFonts w:ascii="宋体" w:hAnsi="宋体"/>
                <w:sz w:val="18"/>
                <w:szCs w:val="18"/>
              </w:rPr>
              <w:t>阳镇崇文路</w:t>
            </w:r>
            <w:r>
              <w:rPr>
                <w:rFonts w:hint="eastAsia" w:ascii="宋体" w:hAnsi="宋体"/>
                <w:sz w:val="18"/>
                <w:szCs w:val="18"/>
              </w:rPr>
              <w:t>86号</w:t>
            </w:r>
          </w:p>
        </w:tc>
        <w:tc>
          <w:tcPr>
            <w:tcW w:w="6190" w:type="dxa"/>
            <w:tcBorders>
              <w:top w:val="nil"/>
              <w:left w:val="nil"/>
              <w:bottom w:val="nil"/>
              <w:right w:val="nil"/>
            </w:tcBorders>
          </w:tcPr>
          <w:p>
            <w:pPr>
              <w:autoSpaceDE w:val="0"/>
              <w:autoSpaceDN w:val="0"/>
              <w:adjustRightInd w:val="0"/>
              <w:spacing w:line="300" w:lineRule="exact"/>
              <w:jc w:val="left"/>
              <w:rPr>
                <w:rFonts w:ascii="宋体" w:hAnsi="宋体"/>
                <w:sz w:val="18"/>
                <w:szCs w:val="18"/>
              </w:rPr>
            </w:pPr>
            <w:r>
              <w:rPr>
                <w:rFonts w:hint="eastAsia" w:ascii="宋体" w:hAnsi="宋体"/>
                <w:sz w:val="18"/>
                <w:szCs w:val="18"/>
              </w:rPr>
              <w:t>住所地：</w:t>
            </w:r>
          </w:p>
        </w:tc>
      </w:tr>
    </w:tbl>
    <w:p>
      <w:pPr>
        <w:autoSpaceDE w:val="0"/>
        <w:autoSpaceDN w:val="0"/>
        <w:adjustRightInd w:val="0"/>
        <w:jc w:val="center"/>
        <w:rPr>
          <w:rFonts w:ascii="宋体" w:hAnsi="宋体"/>
          <w:sz w:val="18"/>
          <w:szCs w:val="18"/>
        </w:rPr>
      </w:pPr>
    </w:p>
    <w:p>
      <w:pPr>
        <w:widowControl/>
        <w:adjustRightInd w:val="0"/>
        <w:spacing w:line="360" w:lineRule="exact"/>
        <w:ind w:firstLine="361" w:firstLineChars="200"/>
        <w:jc w:val="left"/>
        <w:rPr>
          <w:rFonts w:ascii="宋体" w:hAnsi="宋体" w:cs="宋体"/>
          <w:sz w:val="18"/>
          <w:szCs w:val="18"/>
        </w:rPr>
      </w:pPr>
    </w:p>
    <w:p>
      <w:pPr>
        <w:adjustRightInd w:val="0"/>
        <w:snapToGrid w:val="0"/>
        <w:spacing w:line="300" w:lineRule="exact"/>
        <w:ind w:firstLine="361" w:firstLineChars="200"/>
        <w:rPr>
          <w:rFonts w:asciiTheme="minorEastAsia" w:hAnsiTheme="minorEastAsia" w:eastAsiaTheme="minorEastAsia" w:cstheme="minorEastAsia"/>
          <w:sz w:val="18"/>
          <w:szCs w:val="18"/>
        </w:rPr>
      </w:pPr>
    </w:p>
    <w:p>
      <w:pPr>
        <w:keepNext w:val="0"/>
        <w:keepLines w:val="0"/>
        <w:pageBreakBefore w:val="0"/>
        <w:widowControl/>
        <w:kinsoku/>
        <w:wordWrap/>
        <w:overflowPunct/>
        <w:topLinePunct w:val="0"/>
        <w:bidi w:val="0"/>
        <w:adjustRightInd w:val="0"/>
        <w:snapToGrid/>
        <w:spacing w:line="300" w:lineRule="exact"/>
        <w:ind w:firstLine="361" w:firstLineChars="200"/>
        <w:jc w:val="left"/>
        <w:textAlignment w:val="auto"/>
        <w:rPr>
          <w:rFonts w:ascii="宋体" w:hAnsi="宋体" w:cs="宋体"/>
          <w:sz w:val="18"/>
          <w:szCs w:val="18"/>
        </w:rPr>
      </w:pPr>
      <w:r>
        <w:rPr>
          <w:rFonts w:hint="eastAsia" w:ascii="宋体" w:hAnsi="宋体" w:cs="宋体"/>
          <w:sz w:val="18"/>
          <w:szCs w:val="18"/>
        </w:rPr>
        <w:t>根据《中华人民共和国</w:t>
      </w:r>
      <w:r>
        <w:rPr>
          <w:rFonts w:hint="eastAsia" w:ascii="宋体" w:hAnsi="宋体" w:cs="宋体"/>
          <w:sz w:val="18"/>
          <w:szCs w:val="18"/>
          <w:lang w:eastAsia="zh-CN"/>
        </w:rPr>
        <w:t>消防</w:t>
      </w:r>
      <w:r>
        <w:rPr>
          <w:rFonts w:hint="eastAsia" w:ascii="宋体" w:hAnsi="宋体" w:cs="宋体"/>
          <w:sz w:val="18"/>
          <w:szCs w:val="18"/>
        </w:rPr>
        <w:t>法》、</w:t>
      </w:r>
      <w:r>
        <w:rPr>
          <w:rFonts w:hint="eastAsia" w:ascii="宋体" w:hAnsi="宋体" w:cs="宋体"/>
          <w:sz w:val="18"/>
          <w:szCs w:val="18"/>
          <w:lang w:eastAsia="zh-CN"/>
        </w:rPr>
        <w:t>《江苏省消防条例》、</w:t>
      </w:r>
      <w:r>
        <w:rPr>
          <w:rFonts w:hint="eastAsia" w:ascii="宋体" w:hAnsi="宋体" w:cs="宋体"/>
          <w:sz w:val="18"/>
          <w:szCs w:val="18"/>
        </w:rPr>
        <w:t>《中华人民共和国</w:t>
      </w:r>
      <w:r>
        <w:rPr>
          <w:rFonts w:hint="eastAsia" w:ascii="宋体" w:hAnsi="宋体" w:cs="宋体"/>
          <w:sz w:val="18"/>
          <w:szCs w:val="18"/>
          <w:lang w:eastAsia="zh-CN"/>
        </w:rPr>
        <w:t>民法典</w:t>
      </w:r>
      <w:r>
        <w:rPr>
          <w:rFonts w:hint="eastAsia" w:ascii="宋体" w:hAnsi="宋体" w:cs="宋体"/>
          <w:sz w:val="18"/>
          <w:szCs w:val="18"/>
        </w:rPr>
        <w:t>》等法律法规的规定，甲乙双方经</w:t>
      </w:r>
      <w:r>
        <w:rPr>
          <w:rFonts w:hint="eastAsia" w:ascii="宋体" w:hAnsi="宋体" w:cs="宋体"/>
          <w:sz w:val="18"/>
          <w:szCs w:val="18"/>
          <w:lang w:eastAsia="zh-CN"/>
        </w:rPr>
        <w:t>友</w:t>
      </w:r>
      <w:r>
        <w:rPr>
          <w:rFonts w:ascii="宋体" w:hAnsi="宋体" w:cs="宋体"/>
          <w:sz w:val="18"/>
          <w:szCs w:val="18"/>
        </w:rPr>
        <w:t>好协</w:t>
      </w:r>
      <w:r>
        <w:rPr>
          <w:rFonts w:hint="eastAsia" w:ascii="宋体" w:hAnsi="宋体" w:cs="宋体"/>
          <w:sz w:val="18"/>
          <w:szCs w:val="18"/>
        </w:rPr>
        <w:t>商</w:t>
      </w:r>
      <w:r>
        <w:rPr>
          <w:rFonts w:ascii="宋体" w:hAnsi="宋体" w:cs="宋体"/>
          <w:sz w:val="18"/>
          <w:szCs w:val="18"/>
        </w:rPr>
        <w:t>，</w:t>
      </w:r>
      <w:r>
        <w:rPr>
          <w:rFonts w:hint="eastAsia" w:ascii="宋体" w:hAnsi="宋体" w:cs="宋体"/>
          <w:sz w:val="18"/>
          <w:szCs w:val="18"/>
        </w:rPr>
        <w:t>按照</w:t>
      </w:r>
      <w:r>
        <w:rPr>
          <w:rFonts w:hint="eastAsia" w:ascii="宋体" w:hAnsi="宋体" w:cs="宋体"/>
          <w:sz w:val="18"/>
          <w:szCs w:val="18"/>
          <w:lang w:eastAsia="zh-CN"/>
        </w:rPr>
        <w:t>招标编号为</w:t>
      </w:r>
      <w:r>
        <w:rPr>
          <w:rFonts w:hint="eastAsia" w:ascii="宋体" w:hAnsi="宋体" w:cs="宋体"/>
          <w:sz w:val="18"/>
          <w:szCs w:val="18"/>
          <w:lang w:val="en-US" w:eastAsia="zh-CN"/>
        </w:rPr>
        <w:t xml:space="preserve">            </w:t>
      </w:r>
      <w:r>
        <w:rPr>
          <w:rFonts w:hint="eastAsia" w:ascii="宋体" w:hAnsi="宋体" w:cs="宋体"/>
          <w:b w:val="0"/>
          <w:bCs w:val="0"/>
          <w:sz w:val="18"/>
          <w:szCs w:val="18"/>
          <w:u w:val="none"/>
          <w:lang w:val="en-US" w:eastAsia="zh-CN"/>
        </w:rPr>
        <w:t>的招标</w:t>
      </w:r>
      <w:r>
        <w:rPr>
          <w:rFonts w:hint="eastAsia" w:ascii="宋体" w:hAnsi="宋体" w:cs="宋体"/>
          <w:sz w:val="18"/>
          <w:szCs w:val="18"/>
        </w:rPr>
        <w:t>结果</w:t>
      </w:r>
      <w:r>
        <w:rPr>
          <w:rFonts w:ascii="宋体" w:hAnsi="宋体" w:cs="宋体"/>
          <w:sz w:val="18"/>
          <w:szCs w:val="18"/>
        </w:rPr>
        <w:t>，</w:t>
      </w:r>
      <w:r>
        <w:rPr>
          <w:rFonts w:hint="eastAsia" w:ascii="宋体" w:hAnsi="宋体" w:cs="宋体"/>
          <w:sz w:val="18"/>
          <w:szCs w:val="18"/>
        </w:rPr>
        <w:t>签订本合同，</w:t>
      </w:r>
      <w:r>
        <w:rPr>
          <w:kern w:val="1"/>
          <w:sz w:val="18"/>
          <w:szCs w:val="18"/>
        </w:rPr>
        <w:t>承诺共同信守。</w:t>
      </w:r>
    </w:p>
    <w:p>
      <w:pPr>
        <w:pStyle w:val="23"/>
        <w:keepNext w:val="0"/>
        <w:keepLines w:val="0"/>
        <w:pageBreakBefore w:val="0"/>
        <w:numPr>
          <w:ilvl w:val="0"/>
          <w:numId w:val="7"/>
        </w:numPr>
        <w:kinsoku/>
        <w:wordWrap/>
        <w:overflowPunct/>
        <w:topLinePunct w:val="0"/>
        <w:bidi w:val="0"/>
        <w:snapToGrid/>
        <w:spacing w:line="300" w:lineRule="exact"/>
        <w:ind w:firstLineChars="0"/>
        <w:textAlignment w:val="auto"/>
        <w:rPr>
          <w:rFonts w:ascii="宋体" w:hAnsi="宋体"/>
          <w:b/>
          <w:sz w:val="18"/>
          <w:szCs w:val="18"/>
        </w:rPr>
      </w:pPr>
      <w:r>
        <w:rPr>
          <w:rFonts w:hint="eastAsia" w:ascii="宋体" w:hAnsi="宋体"/>
          <w:b/>
          <w:sz w:val="18"/>
          <w:szCs w:val="18"/>
          <w:lang w:eastAsia="zh-CN"/>
        </w:rPr>
        <w:t>工程概况</w:t>
      </w:r>
    </w:p>
    <w:p>
      <w:pPr>
        <w:pStyle w:val="23"/>
        <w:keepNext w:val="0"/>
        <w:keepLines w:val="0"/>
        <w:pageBreakBefore w:val="0"/>
        <w:numPr>
          <w:ilvl w:val="0"/>
          <w:numId w:val="0"/>
        </w:numPr>
        <w:kinsoku/>
        <w:wordWrap/>
        <w:overflowPunct/>
        <w:topLinePunct w:val="0"/>
        <w:bidi w:val="0"/>
        <w:snapToGrid/>
        <w:spacing w:line="300" w:lineRule="exact"/>
        <w:ind w:firstLine="361" w:firstLineChars="200"/>
        <w:textAlignment w:val="auto"/>
        <w:rPr>
          <w:rFonts w:hint="eastAsia" w:ascii="宋体" w:hAnsi="宋体"/>
          <w:b w:val="0"/>
          <w:bCs/>
          <w:sz w:val="18"/>
          <w:szCs w:val="18"/>
          <w:lang w:eastAsia="zh-CN"/>
        </w:rPr>
      </w:pPr>
      <w:r>
        <w:rPr>
          <w:rFonts w:hint="eastAsia" w:ascii="宋体" w:hAnsi="宋体"/>
          <w:b/>
          <w:bCs w:val="0"/>
          <w:sz w:val="18"/>
          <w:szCs w:val="18"/>
          <w:lang w:eastAsia="zh-CN"/>
        </w:rPr>
        <w:t>工程名称</w:t>
      </w:r>
      <w:r>
        <w:rPr>
          <w:rFonts w:hint="eastAsia" w:ascii="宋体" w:hAnsi="宋体"/>
          <w:b w:val="0"/>
          <w:bCs/>
          <w:sz w:val="18"/>
          <w:szCs w:val="18"/>
          <w:lang w:eastAsia="zh-CN"/>
        </w:rPr>
        <w:t>：气体灭火系统检测项目</w:t>
      </w:r>
    </w:p>
    <w:p>
      <w:pPr>
        <w:keepNext w:val="0"/>
        <w:keepLines w:val="0"/>
        <w:pageBreakBefore w:val="0"/>
        <w:widowControl/>
        <w:kinsoku/>
        <w:wordWrap/>
        <w:overflowPunct/>
        <w:topLinePunct w:val="0"/>
        <w:bidi w:val="0"/>
        <w:adjustRightInd w:val="0"/>
        <w:snapToGrid/>
        <w:spacing w:line="300" w:lineRule="exact"/>
        <w:ind w:firstLine="361" w:firstLineChars="200"/>
        <w:jc w:val="left"/>
        <w:textAlignment w:val="auto"/>
        <w:rPr>
          <w:rFonts w:hint="eastAsia" w:ascii="宋体" w:hAnsi="宋体" w:cs="宋体"/>
          <w:sz w:val="18"/>
          <w:szCs w:val="18"/>
          <w:lang w:eastAsia="zh-CN"/>
        </w:rPr>
      </w:pPr>
      <w:r>
        <w:rPr>
          <w:rFonts w:hint="eastAsia" w:ascii="宋体" w:hAnsi="宋体" w:cs="宋体"/>
          <w:b/>
          <w:bCs/>
          <w:sz w:val="18"/>
          <w:szCs w:val="18"/>
          <w:lang w:eastAsia="zh-CN"/>
        </w:rPr>
        <w:t>工程地点</w:t>
      </w:r>
      <w:r>
        <w:rPr>
          <w:rFonts w:hint="eastAsia" w:ascii="宋体" w:hAnsi="宋体" w:cs="宋体"/>
          <w:sz w:val="18"/>
          <w:szCs w:val="18"/>
          <w:lang w:eastAsia="zh-CN"/>
        </w:rPr>
        <w:t>：南京市溧水区人民医院</w:t>
      </w:r>
    </w:p>
    <w:p>
      <w:pPr>
        <w:keepNext w:val="0"/>
        <w:keepLines w:val="0"/>
        <w:pageBreakBefore w:val="0"/>
        <w:widowControl/>
        <w:kinsoku/>
        <w:wordWrap/>
        <w:overflowPunct/>
        <w:topLinePunct w:val="0"/>
        <w:bidi w:val="0"/>
        <w:adjustRightInd w:val="0"/>
        <w:snapToGrid/>
        <w:spacing w:line="300" w:lineRule="exact"/>
        <w:ind w:firstLine="361" w:firstLineChars="200"/>
        <w:jc w:val="left"/>
        <w:textAlignment w:val="auto"/>
        <w:rPr>
          <w:rFonts w:hint="eastAsia" w:ascii="宋体" w:hAnsi="宋体" w:cs="宋体"/>
          <w:sz w:val="18"/>
          <w:szCs w:val="18"/>
        </w:rPr>
      </w:pPr>
      <w:r>
        <w:rPr>
          <w:rFonts w:hint="eastAsia" w:ascii="宋体" w:hAnsi="宋体" w:cs="宋体"/>
          <w:b/>
          <w:bCs/>
          <w:sz w:val="18"/>
          <w:szCs w:val="18"/>
          <w:lang w:eastAsia="zh-CN"/>
        </w:rPr>
        <w:t>服务内容</w:t>
      </w:r>
      <w:r>
        <w:rPr>
          <w:rFonts w:hint="eastAsia" w:ascii="宋体" w:hAnsi="宋体" w:cs="宋体"/>
          <w:sz w:val="18"/>
          <w:szCs w:val="18"/>
          <w:lang w:eastAsia="zh-CN"/>
        </w:rPr>
        <w:t>：医</w:t>
      </w:r>
      <w:r>
        <w:rPr>
          <w:rFonts w:hint="eastAsia" w:ascii="宋体" w:hAnsi="宋体" w:cs="宋体"/>
          <w:sz w:val="18"/>
          <w:szCs w:val="18"/>
        </w:rPr>
        <w:t>院配电房、信息中心气体灭火设备气瓶罐检测与七氟丙烷气体补充装：</w:t>
      </w:r>
    </w:p>
    <w:p>
      <w:pPr>
        <w:keepNext w:val="0"/>
        <w:keepLines w:val="0"/>
        <w:pageBreakBefore w:val="0"/>
        <w:widowControl/>
        <w:kinsoku/>
        <w:wordWrap/>
        <w:overflowPunct/>
        <w:topLinePunct w:val="0"/>
        <w:bidi w:val="0"/>
        <w:adjustRightInd w:val="0"/>
        <w:snapToGrid/>
        <w:spacing w:line="300" w:lineRule="exact"/>
        <w:ind w:firstLine="361" w:firstLineChars="200"/>
        <w:jc w:val="left"/>
        <w:textAlignment w:val="auto"/>
        <w:rPr>
          <w:rFonts w:hint="eastAsia" w:ascii="宋体" w:hAnsi="宋体" w:cs="宋体"/>
          <w:sz w:val="18"/>
          <w:szCs w:val="18"/>
        </w:rPr>
      </w:pPr>
      <w:r>
        <w:rPr>
          <w:rFonts w:hint="eastAsia" w:ascii="宋体" w:hAnsi="宋体" w:cs="宋体"/>
          <w:sz w:val="18"/>
          <w:szCs w:val="18"/>
        </w:rPr>
        <w:t>1.目前我院七氟丙烷气体灭火装置气瓶罐（</w:t>
      </w:r>
      <w:r>
        <w:rPr>
          <w:rFonts w:hint="eastAsia" w:ascii="宋体" w:hAnsi="宋体" w:cs="宋体"/>
          <w:sz w:val="18"/>
          <w:szCs w:val="18"/>
          <w:lang w:val="en-US" w:eastAsia="zh-CN"/>
        </w:rPr>
        <w:t>见询价文件</w:t>
      </w:r>
      <w:r>
        <w:rPr>
          <w:rFonts w:hint="eastAsia" w:ascii="宋体" w:hAnsi="宋体" w:cs="宋体"/>
          <w:sz w:val="18"/>
          <w:szCs w:val="18"/>
          <w:lang w:eastAsia="zh-CN"/>
        </w:rPr>
        <w:t>）</w:t>
      </w:r>
      <w:r>
        <w:rPr>
          <w:rFonts w:hint="eastAsia" w:ascii="宋体" w:hAnsi="宋体" w:cs="宋体"/>
          <w:sz w:val="18"/>
          <w:szCs w:val="18"/>
        </w:rPr>
        <w:t>。</w:t>
      </w:r>
    </w:p>
    <w:p>
      <w:pPr>
        <w:keepNext w:val="0"/>
        <w:keepLines w:val="0"/>
        <w:pageBreakBefore w:val="0"/>
        <w:widowControl/>
        <w:kinsoku/>
        <w:wordWrap/>
        <w:overflowPunct/>
        <w:topLinePunct w:val="0"/>
        <w:bidi w:val="0"/>
        <w:adjustRightInd w:val="0"/>
        <w:snapToGrid/>
        <w:spacing w:line="300" w:lineRule="exact"/>
        <w:ind w:firstLine="361" w:firstLineChars="200"/>
        <w:jc w:val="left"/>
        <w:textAlignment w:val="auto"/>
        <w:rPr>
          <w:rFonts w:hint="eastAsia"/>
          <w:b w:val="0"/>
          <w:bCs w:val="0"/>
          <w:sz w:val="18"/>
          <w:szCs w:val="18"/>
          <w:lang w:val="en-US" w:eastAsia="zh-CN"/>
        </w:rPr>
      </w:pPr>
      <w:r>
        <w:rPr>
          <w:rFonts w:hint="eastAsia" w:ascii="宋体" w:hAnsi="宋体" w:cs="宋体"/>
          <w:sz w:val="18"/>
          <w:szCs w:val="18"/>
          <w:lang w:val="en-US" w:eastAsia="zh-CN"/>
        </w:rPr>
        <w:t>2.气体灭火钢瓶的检验；所有瓶组密封性能试验；七氟丙烷灭火剂的增补。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361" w:firstLineChars="200"/>
        <w:jc w:val="left"/>
        <w:textAlignment w:val="auto"/>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bCs/>
          <w:sz w:val="18"/>
          <w:szCs w:val="18"/>
          <w:lang w:val="en-US" w:eastAsia="zh-CN"/>
        </w:rPr>
        <w:t>项目工期</w:t>
      </w:r>
      <w:r>
        <w:rPr>
          <w:rFonts w:hint="eastAsia" w:asciiTheme="minorEastAsia" w:hAnsiTheme="minorEastAsia" w:eastAsiaTheme="minorEastAsia" w:cstheme="minorEastAsia"/>
          <w:b w:val="0"/>
          <w:bCs w:val="0"/>
          <w:sz w:val="18"/>
          <w:szCs w:val="18"/>
          <w:lang w:val="en-US" w:eastAsia="zh-CN"/>
        </w:rPr>
        <w:t>：进场时间为合同期签订后三个工作日内（如有特殊情况，甲方与乙方协商进场时间），乙方</w:t>
      </w:r>
      <w:r>
        <w:rPr>
          <w:rFonts w:hint="eastAsia" w:asciiTheme="minorEastAsia" w:hAnsiTheme="minorEastAsia" w:eastAsiaTheme="minorEastAsia" w:cstheme="minorEastAsia"/>
          <w:b/>
          <w:bCs/>
          <w:sz w:val="18"/>
          <w:szCs w:val="18"/>
          <w:u w:val="single"/>
          <w:lang w:val="en-US" w:eastAsia="zh-CN"/>
        </w:rPr>
        <w:t>7个工作日</w:t>
      </w:r>
      <w:r>
        <w:rPr>
          <w:rFonts w:hint="eastAsia" w:asciiTheme="minorEastAsia" w:hAnsiTheme="minorEastAsia" w:eastAsiaTheme="minorEastAsia" w:cstheme="minorEastAsia"/>
          <w:b w:val="0"/>
          <w:bCs w:val="0"/>
          <w:sz w:val="18"/>
          <w:szCs w:val="18"/>
          <w:lang w:val="en-US" w:eastAsia="zh-CN"/>
        </w:rPr>
        <w:t>出具检测结果。</w:t>
      </w:r>
    </w:p>
    <w:p>
      <w:pPr>
        <w:pStyle w:val="23"/>
        <w:keepNext w:val="0"/>
        <w:keepLines w:val="0"/>
        <w:pageBreakBefore w:val="0"/>
        <w:kinsoku/>
        <w:wordWrap/>
        <w:overflowPunct/>
        <w:topLinePunct w:val="0"/>
        <w:autoSpaceDE w:val="0"/>
        <w:autoSpaceDN w:val="0"/>
        <w:bidi w:val="0"/>
        <w:adjustRightInd w:val="0"/>
        <w:snapToGrid/>
        <w:spacing w:line="300" w:lineRule="exact"/>
        <w:ind w:left="422" w:firstLine="0" w:firstLineChars="0"/>
        <w:jc w:val="left"/>
        <w:textAlignment w:val="auto"/>
        <w:rPr>
          <w:rFonts w:ascii="宋体" w:hAnsi="宋体"/>
          <w:b/>
          <w:sz w:val="18"/>
          <w:szCs w:val="18"/>
        </w:rPr>
      </w:pPr>
      <w:r>
        <w:rPr>
          <w:rFonts w:hint="eastAsia" w:ascii="宋体" w:hAnsi="宋体"/>
          <w:b/>
          <w:bCs/>
          <w:sz w:val="18"/>
          <w:szCs w:val="18"/>
        </w:rPr>
        <w:t>第二条</w:t>
      </w:r>
      <w:r>
        <w:rPr>
          <w:rFonts w:hint="eastAsia" w:ascii="宋体" w:hAnsi="宋体"/>
          <w:sz w:val="18"/>
          <w:szCs w:val="18"/>
        </w:rPr>
        <w:t xml:space="preserve"> </w:t>
      </w:r>
      <w:r>
        <w:rPr>
          <w:rFonts w:hint="eastAsia" w:ascii="宋体" w:hAnsi="宋体"/>
          <w:b/>
          <w:sz w:val="18"/>
          <w:szCs w:val="18"/>
        </w:rPr>
        <w:t>合同总价款</w:t>
      </w:r>
      <w:r>
        <w:rPr>
          <w:rFonts w:hint="eastAsia" w:ascii="宋体" w:hAnsi="宋体"/>
          <w:b/>
          <w:sz w:val="18"/>
          <w:szCs w:val="18"/>
          <w:lang w:eastAsia="zh-CN"/>
        </w:rPr>
        <w:t>与付款方式</w:t>
      </w:r>
      <w:r>
        <w:rPr>
          <w:rFonts w:hint="eastAsia" w:ascii="宋体" w:hAnsi="宋体"/>
          <w:b/>
          <w:sz w:val="18"/>
          <w:szCs w:val="18"/>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361" w:firstLineChars="200"/>
        <w:textAlignment w:val="auto"/>
        <w:rPr>
          <w:rFonts w:hint="eastAsia" w:ascii="宋体" w:hAnsi="宋体" w:cs="宋体"/>
          <w:sz w:val="18"/>
          <w:szCs w:val="18"/>
        </w:rPr>
      </w:pPr>
      <w:r>
        <w:rPr>
          <w:rFonts w:hint="eastAsia" w:asciiTheme="minorEastAsia" w:hAnsiTheme="minorEastAsia" w:eastAsiaTheme="minorEastAsia" w:cstheme="minorEastAsia"/>
          <w:color w:val="000000"/>
          <w:sz w:val="18"/>
          <w:szCs w:val="18"/>
        </w:rPr>
        <w:t>1、</w:t>
      </w:r>
      <w:r>
        <w:rPr>
          <w:rFonts w:hint="eastAsia" w:asciiTheme="minorEastAsia" w:hAnsiTheme="minorEastAsia" w:eastAsiaTheme="minorEastAsia" w:cstheme="minorEastAsia"/>
          <w:color w:val="000000"/>
          <w:sz w:val="18"/>
          <w:szCs w:val="18"/>
          <w:lang w:eastAsia="zh-CN"/>
        </w:rPr>
        <w:t>本项目检测费用：</w:t>
      </w:r>
      <w:r>
        <w:rPr>
          <w:rFonts w:hint="eastAsia" w:asciiTheme="minorEastAsia" w:hAnsiTheme="minorEastAsia" w:eastAsiaTheme="minorEastAsia" w:cstheme="minorEastAsia"/>
          <w:color w:val="000000"/>
          <w:sz w:val="18"/>
          <w:szCs w:val="18"/>
          <w:lang w:val="en-US" w:eastAsia="zh-CN"/>
        </w:rPr>
        <w:t>总</w:t>
      </w:r>
      <w:r>
        <w:rPr>
          <w:rFonts w:hint="eastAsia" w:asciiTheme="minorEastAsia" w:hAnsiTheme="minorEastAsia" w:eastAsiaTheme="minorEastAsia" w:cstheme="minorEastAsia"/>
          <w:color w:val="000000"/>
          <w:sz w:val="18"/>
          <w:szCs w:val="18"/>
          <w:lang w:eastAsia="zh-CN"/>
        </w:rPr>
        <w:t>计</w:t>
      </w:r>
      <w:r>
        <w:rPr>
          <w:rFonts w:hint="eastAsia" w:asciiTheme="minorEastAsia" w:hAnsiTheme="minorEastAsia" w:eastAsiaTheme="minorEastAsia" w:cstheme="minorEastAsia"/>
          <w:b/>
          <w:bCs/>
          <w:color w:val="000000"/>
          <w:sz w:val="18"/>
          <w:szCs w:val="18"/>
          <w:u w:val="single"/>
          <w:lang w:val="en-US" w:eastAsia="zh-CN"/>
        </w:rPr>
        <w:t xml:space="preserve">      </w:t>
      </w:r>
      <w:r>
        <w:rPr>
          <w:rFonts w:hint="eastAsia" w:asciiTheme="minorEastAsia" w:hAnsiTheme="minorEastAsia" w:eastAsiaTheme="minorEastAsia" w:cstheme="minorEastAsia"/>
          <w:color w:val="000000"/>
          <w:sz w:val="18"/>
          <w:szCs w:val="18"/>
          <w:u w:val="none" w:color="auto"/>
          <w:lang w:val="en-US" w:eastAsia="zh-CN"/>
        </w:rPr>
        <w:t>元（大写：人民币</w:t>
      </w:r>
      <w:r>
        <w:rPr>
          <w:rFonts w:hint="eastAsia" w:asciiTheme="minorEastAsia" w:hAnsiTheme="minorEastAsia" w:eastAsiaTheme="minorEastAsia" w:cstheme="minorEastAsia"/>
          <w:b/>
          <w:bCs/>
          <w:color w:val="000000"/>
          <w:sz w:val="18"/>
          <w:szCs w:val="18"/>
          <w:u w:val="none" w:color="auto"/>
          <w:lang w:val="en-US" w:eastAsia="zh-CN"/>
        </w:rPr>
        <w:t xml:space="preserve">       元整</w:t>
      </w:r>
      <w:r>
        <w:rPr>
          <w:rFonts w:hint="eastAsia" w:asciiTheme="minorEastAsia" w:hAnsiTheme="minorEastAsia" w:eastAsiaTheme="minorEastAsia" w:cstheme="minorEastAsia"/>
          <w:color w:val="000000"/>
          <w:sz w:val="18"/>
          <w:szCs w:val="18"/>
          <w:u w:val="none" w:color="auto"/>
          <w:lang w:val="en-US" w:eastAsia="zh-CN"/>
        </w:rPr>
        <w:t>），</w:t>
      </w:r>
      <w:r>
        <w:rPr>
          <w:rFonts w:hint="eastAsia" w:ascii="宋体" w:hAnsi="宋体" w:cs="宋体"/>
          <w:sz w:val="18"/>
          <w:szCs w:val="18"/>
        </w:rPr>
        <w:t>费用含钢瓶检验费、瓶组密封性能试验费、补充七氟丙烷灭火剂（满足规范要求）、拆装费、运输费等其它应该包含的所有一切费用。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361" w:firstLineChars="200"/>
        <w:textAlignment w:val="auto"/>
        <w:rPr>
          <w:rFonts w:hint="eastAsia" w:asciiTheme="minorEastAsia" w:hAnsiTheme="minorEastAsia" w:eastAsiaTheme="minorEastAsia" w:cstheme="minorEastAsia"/>
          <w:color w:val="000000"/>
          <w:sz w:val="18"/>
          <w:szCs w:val="18"/>
          <w:u w:val="none" w:color="auto"/>
          <w:lang w:val="en-US" w:eastAsia="zh-CN"/>
        </w:rPr>
      </w:pPr>
      <w:r>
        <w:rPr>
          <w:rFonts w:hint="eastAsia" w:ascii="宋体" w:hAnsi="宋体" w:cs="宋体"/>
          <w:sz w:val="18"/>
          <w:szCs w:val="18"/>
          <w:lang w:val="en-US" w:eastAsia="zh-CN"/>
        </w:rPr>
        <w:t>2</w:t>
      </w:r>
      <w:r>
        <w:rPr>
          <w:rFonts w:hint="eastAsia" w:asciiTheme="minorEastAsia" w:hAnsiTheme="minorEastAsia" w:eastAsiaTheme="minorEastAsia" w:cstheme="minorEastAsia"/>
          <w:color w:val="000000"/>
          <w:sz w:val="18"/>
          <w:szCs w:val="18"/>
          <w:u w:val="none" w:color="auto"/>
          <w:lang w:val="en-US" w:eastAsia="zh-CN"/>
        </w:rPr>
        <w:t>、付款方式：</w:t>
      </w:r>
      <w:r>
        <w:rPr>
          <w:rFonts w:hint="eastAsia" w:asciiTheme="minorEastAsia" w:hAnsiTheme="minorEastAsia" w:eastAsiaTheme="minorEastAsia" w:cstheme="minorEastAsia"/>
          <w:b/>
          <w:bCs/>
          <w:color w:val="000000"/>
          <w:sz w:val="18"/>
          <w:szCs w:val="18"/>
          <w:u w:val="single" w:color="auto"/>
          <w:lang w:val="en-US" w:eastAsia="zh-CN"/>
        </w:rPr>
        <w:t>乙方完成项目后出具有效的检测报告并经甲方验收合格后，乙方开具符合国家规定的发票，甲方按照正常流程支付全款。</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lang w:eastAsia="zh-CN"/>
        </w:rPr>
        <w:t>第三条</w:t>
      </w:r>
      <w:r>
        <w:rPr>
          <w:rFonts w:hint="eastAsia" w:asciiTheme="minorEastAsia" w:hAnsiTheme="minorEastAsia" w:eastAsiaTheme="minorEastAsia" w:cstheme="minorEastAsia"/>
          <w:b/>
          <w:bCs/>
          <w:color w:val="000000"/>
          <w:sz w:val="18"/>
          <w:szCs w:val="18"/>
          <w:lang w:val="en-US" w:eastAsia="zh-CN"/>
        </w:rPr>
        <w:t xml:space="preserve">  双方</w:t>
      </w:r>
      <w:r>
        <w:rPr>
          <w:rFonts w:hint="eastAsia" w:asciiTheme="minorEastAsia" w:hAnsiTheme="minorEastAsia" w:eastAsiaTheme="minorEastAsia" w:cstheme="minorEastAsia"/>
          <w:b/>
          <w:bCs/>
          <w:color w:val="000000"/>
          <w:sz w:val="18"/>
          <w:szCs w:val="18"/>
        </w:rPr>
        <w:t>权利</w:t>
      </w:r>
      <w:r>
        <w:rPr>
          <w:rFonts w:hint="eastAsia" w:asciiTheme="minorEastAsia" w:hAnsiTheme="minorEastAsia" w:eastAsiaTheme="minorEastAsia" w:cstheme="minorEastAsia"/>
          <w:b/>
          <w:bCs/>
          <w:color w:val="000000"/>
          <w:sz w:val="18"/>
          <w:szCs w:val="18"/>
          <w:lang w:eastAsia="zh-CN"/>
        </w:rPr>
        <w:t>与</w:t>
      </w:r>
      <w:r>
        <w:rPr>
          <w:rFonts w:hint="eastAsia" w:asciiTheme="minorEastAsia" w:hAnsiTheme="minorEastAsia" w:eastAsiaTheme="minorEastAsia" w:cstheme="minorEastAsia"/>
          <w:b/>
          <w:bCs/>
          <w:color w:val="000000"/>
          <w:sz w:val="18"/>
          <w:szCs w:val="18"/>
        </w:rPr>
        <w:t>义务</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Theme="minorEastAsia" w:hAnsiTheme="minorEastAsia" w:eastAsiaTheme="minorEastAsia" w:cstheme="minorEastAsia"/>
          <w:b w:val="0"/>
          <w:bCs w:val="0"/>
          <w:i w:val="0"/>
          <w:iCs w:val="0"/>
          <w:color w:val="000000"/>
          <w:sz w:val="18"/>
          <w:szCs w:val="18"/>
          <w:lang w:eastAsia="zh-CN"/>
        </w:rPr>
      </w:pPr>
      <w:r>
        <w:rPr>
          <w:rFonts w:hint="eastAsia" w:asciiTheme="minorEastAsia" w:hAnsiTheme="minorEastAsia" w:eastAsiaTheme="minorEastAsia" w:cstheme="minorEastAsia"/>
          <w:b w:val="0"/>
          <w:bCs w:val="0"/>
          <w:i w:val="0"/>
          <w:iCs w:val="0"/>
          <w:color w:val="000000"/>
          <w:sz w:val="18"/>
          <w:szCs w:val="18"/>
          <w:lang w:eastAsia="zh-CN"/>
        </w:rPr>
        <w:t>甲方权利与义务：</w:t>
      </w:r>
    </w:p>
    <w:p>
      <w:pPr>
        <w:keepNext w:val="0"/>
        <w:keepLines w:val="0"/>
        <w:pageBreakBefore w:val="0"/>
        <w:widowControl w:val="0"/>
        <w:numPr>
          <w:ilvl w:val="0"/>
          <w:numId w:val="8"/>
        </w:numPr>
        <w:kinsoku/>
        <w:wordWrap/>
        <w:overflowPunct/>
        <w:topLinePunct w:val="0"/>
        <w:autoSpaceDE/>
        <w:autoSpaceDN/>
        <w:bidi w:val="0"/>
        <w:adjustRightInd/>
        <w:snapToGrid/>
        <w:spacing w:line="300" w:lineRule="exact"/>
        <w:ind w:firstLine="361" w:firstLineChars="200"/>
        <w:textAlignment w:val="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甲方</w:t>
      </w:r>
      <w:r>
        <w:rPr>
          <w:rFonts w:hint="eastAsia" w:asciiTheme="minorEastAsia" w:hAnsiTheme="minorEastAsia" w:eastAsiaTheme="minorEastAsia" w:cstheme="minorEastAsia"/>
          <w:color w:val="000000"/>
          <w:sz w:val="18"/>
          <w:szCs w:val="18"/>
        </w:rPr>
        <w:t>有权核查乙方检测机构资质证书和现场检测人员执业资格证书</w:t>
      </w:r>
      <w:r>
        <w:rPr>
          <w:rFonts w:hint="eastAsia" w:asciiTheme="minorEastAsia" w:hAnsiTheme="minorEastAsia" w:eastAsiaTheme="minorEastAsia" w:cstheme="minorEastAsia"/>
          <w:color w:val="00000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rPr>
        <w:t>、乙方到场检测时，</w:t>
      </w:r>
      <w:r>
        <w:rPr>
          <w:rFonts w:hint="eastAsia" w:asciiTheme="minorEastAsia" w:hAnsiTheme="minorEastAsia" w:eastAsiaTheme="minorEastAsia" w:cstheme="minorEastAsia"/>
          <w:color w:val="000000"/>
          <w:sz w:val="18"/>
          <w:szCs w:val="18"/>
          <w:lang w:eastAsia="zh-CN"/>
        </w:rPr>
        <w:t>甲方</w:t>
      </w:r>
      <w:r>
        <w:rPr>
          <w:rFonts w:hint="eastAsia" w:asciiTheme="minorEastAsia" w:hAnsiTheme="minorEastAsia" w:eastAsiaTheme="minorEastAsia" w:cstheme="minorEastAsia"/>
          <w:color w:val="000000"/>
          <w:sz w:val="18"/>
          <w:szCs w:val="18"/>
        </w:rPr>
        <w:t>应提供必要的协助。</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3、所委托检测项目的工程基本竣工后，甲方需监督核查完成情况。</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Theme="minorEastAsia" w:hAnsiTheme="minorEastAsia" w:eastAsiaTheme="minorEastAsia" w:cstheme="minorEastAsia"/>
          <w:b w:val="0"/>
          <w:bCs w:val="0"/>
          <w:color w:val="000000"/>
          <w:sz w:val="18"/>
          <w:szCs w:val="18"/>
          <w:lang w:eastAsia="zh-CN"/>
        </w:rPr>
      </w:pPr>
      <w:r>
        <w:rPr>
          <w:rFonts w:hint="eastAsia" w:asciiTheme="minorEastAsia" w:hAnsiTheme="minorEastAsia" w:eastAsiaTheme="minorEastAsia" w:cstheme="minorEastAsia"/>
          <w:b w:val="0"/>
          <w:bCs w:val="0"/>
          <w:color w:val="000000"/>
          <w:sz w:val="18"/>
          <w:szCs w:val="18"/>
        </w:rPr>
        <w:t>乙方的权利</w:t>
      </w:r>
      <w:r>
        <w:rPr>
          <w:rFonts w:hint="eastAsia" w:asciiTheme="minorEastAsia" w:hAnsiTheme="minorEastAsia" w:eastAsiaTheme="minorEastAsia" w:cstheme="minorEastAsia"/>
          <w:b w:val="0"/>
          <w:bCs w:val="0"/>
          <w:color w:val="000000"/>
          <w:sz w:val="18"/>
          <w:szCs w:val="18"/>
          <w:lang w:eastAsia="zh-CN"/>
        </w:rPr>
        <w:t>与</w:t>
      </w:r>
      <w:r>
        <w:rPr>
          <w:rFonts w:hint="eastAsia" w:asciiTheme="minorEastAsia" w:hAnsiTheme="minorEastAsia" w:eastAsiaTheme="minorEastAsia" w:cstheme="minorEastAsia"/>
          <w:b w:val="0"/>
          <w:bCs w:val="0"/>
          <w:color w:val="000000"/>
          <w:sz w:val="18"/>
          <w:szCs w:val="18"/>
        </w:rPr>
        <w:t>义务</w:t>
      </w:r>
      <w:r>
        <w:rPr>
          <w:rFonts w:hint="eastAsia" w:asciiTheme="minorEastAsia" w:hAnsiTheme="minorEastAsia" w:eastAsiaTheme="minorEastAsia" w:cstheme="minorEastAsia"/>
          <w:b w:val="0"/>
          <w:bCs w:val="0"/>
          <w:color w:val="000000"/>
          <w:sz w:val="18"/>
          <w:szCs w:val="18"/>
          <w:lang w:eastAsia="zh-CN"/>
        </w:rPr>
        <w:t>：</w:t>
      </w:r>
    </w:p>
    <w:p>
      <w:pPr>
        <w:pStyle w:val="26"/>
        <w:keepNext w:val="0"/>
        <w:keepLines w:val="0"/>
        <w:pageBreakBefore w:val="0"/>
        <w:numPr>
          <w:ilvl w:val="2"/>
          <w:numId w:val="0"/>
        </w:numPr>
        <w:kinsoku/>
        <w:wordWrap/>
        <w:overflowPunct/>
        <w:topLinePunct w:val="0"/>
        <w:bidi w:val="0"/>
        <w:snapToGrid/>
        <w:spacing w:line="300" w:lineRule="exact"/>
        <w:ind w:firstLine="360" w:firstLineChars="200"/>
        <w:textAlignment w:val="auto"/>
        <w:rPr>
          <w:rFonts w:hint="eastAsia" w:asciiTheme="minorEastAsia" w:hAnsiTheme="minorEastAsia" w:eastAsiaTheme="minorEastAsia" w:cstheme="minorEastAsia"/>
          <w:b w:val="0"/>
          <w:bCs w:val="0"/>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1、乙方依据《气瓶安全监察规程》对钢瓶的检验出具真实、规范、有效的检验报告。</w:t>
      </w:r>
      <w:r>
        <w:rPr>
          <w:rFonts w:hint="eastAsia" w:asciiTheme="minorEastAsia" w:hAnsiTheme="minorEastAsia" w:eastAsiaTheme="minorEastAsia" w:cstheme="minorEastAsia"/>
          <w:color w:val="000000"/>
          <w:sz w:val="18"/>
          <w:szCs w:val="18"/>
        </w:rPr>
        <w:t>并由经办人、项目负责人和技术负责人签名，并加盖检测机构印章</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b w:val="0"/>
          <w:bCs w:val="0"/>
          <w:kern w:val="2"/>
          <w:sz w:val="18"/>
          <w:szCs w:val="18"/>
          <w:lang w:val="en-US" w:eastAsia="zh-CN" w:bidi="ar-SA"/>
        </w:rPr>
        <w:t>检测机构对出具的检测报告负有法律责任，检测报告必须实事求是，数据准确可靠。</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val="en-US" w:eastAsia="zh-CN"/>
        </w:rPr>
        <w:t>2、</w:t>
      </w:r>
      <w:r>
        <w:rPr>
          <w:rFonts w:hint="eastAsia" w:asciiTheme="minorEastAsia" w:hAnsiTheme="minorEastAsia" w:eastAsiaTheme="minorEastAsia" w:cstheme="minorEastAsia"/>
          <w:color w:val="000000"/>
          <w:sz w:val="18"/>
          <w:szCs w:val="18"/>
          <w:lang w:eastAsia="zh-CN"/>
        </w:rPr>
        <w:t>具备专业承包消防设施工程二级(含)以上的检测的相应资质、资格，依照法律法规、技术标准和执业准则，乙方按照约定的检测时间和范围，开展建筑消防设施检测技术服务活动，对检测质量负责。</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3、乙方需</w:t>
      </w:r>
      <w:r>
        <w:rPr>
          <w:rFonts w:hint="eastAsia" w:asciiTheme="minorEastAsia" w:hAnsiTheme="minorEastAsia" w:eastAsiaTheme="minorEastAsia" w:cstheme="minorEastAsia"/>
          <w:color w:val="000000"/>
          <w:sz w:val="18"/>
          <w:szCs w:val="18"/>
          <w:lang w:eastAsia="zh-CN"/>
        </w:rPr>
        <w:t>保证系统正常工作，满足现行消防规范的要求。</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rPr>
        <w:t>、根据检测对象的具体情况，拟定具体的检测方案，明确项目负责人，至少指定2名以上执业人员负责实施</w:t>
      </w:r>
      <w:r>
        <w:rPr>
          <w:rFonts w:hint="eastAsia" w:asciiTheme="minorEastAsia" w:hAnsiTheme="minorEastAsia" w:eastAsiaTheme="minorEastAsia" w:cstheme="minorEastAsia"/>
          <w:color w:val="000000"/>
          <w:sz w:val="18"/>
          <w:szCs w:val="18"/>
          <w:lang w:eastAsia="zh-CN"/>
        </w:rPr>
        <w:t>，项目负责人与项目执行人员必须持有规定的有效证件入场检测，由甲方监督和检查人员资质、乙方需无条件配合</w:t>
      </w:r>
      <w:r>
        <w:rPr>
          <w:rFonts w:hint="eastAsia" w:asciiTheme="minorEastAsia" w:hAnsiTheme="minorEastAsia" w:eastAsiaTheme="minorEastAsia" w:cstheme="minorEastAsia"/>
          <w:color w:val="000000"/>
          <w:sz w:val="18"/>
          <w:szCs w:val="18"/>
        </w:rPr>
        <w:t>。执业人员检测时应当认真如实填写检测记录。</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w:t>
      </w:r>
      <w:r>
        <w:rPr>
          <w:rFonts w:hint="eastAsia" w:asciiTheme="minorEastAsia" w:hAnsiTheme="minorEastAsia" w:eastAsiaTheme="minorEastAsia" w:cstheme="minorEastAsia"/>
          <w:color w:val="000000"/>
          <w:sz w:val="18"/>
          <w:szCs w:val="18"/>
        </w:rPr>
        <w:t>、不得转包、分包</w:t>
      </w:r>
      <w:r>
        <w:rPr>
          <w:rFonts w:hint="eastAsia" w:asciiTheme="minorEastAsia" w:hAnsiTheme="minorEastAsia" w:eastAsiaTheme="minorEastAsia" w:cstheme="minorEastAsia"/>
          <w:color w:val="000000"/>
          <w:sz w:val="18"/>
          <w:szCs w:val="18"/>
          <w:lang w:eastAsia="zh-CN"/>
        </w:rPr>
        <w:t>气体灭火系统</w:t>
      </w:r>
      <w:r>
        <w:rPr>
          <w:rFonts w:hint="eastAsia" w:asciiTheme="minorEastAsia" w:hAnsiTheme="minorEastAsia" w:eastAsiaTheme="minorEastAsia" w:cstheme="minorEastAsia"/>
          <w:color w:val="000000"/>
          <w:sz w:val="18"/>
          <w:szCs w:val="18"/>
        </w:rPr>
        <w:t>检测服务项目。</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eastAsia" w:ascii="宋体" w:hAnsi="宋体"/>
          <w:b/>
          <w:bCs/>
          <w:sz w:val="18"/>
          <w:szCs w:val="18"/>
          <w:lang w:eastAsia="zh-CN"/>
        </w:rPr>
      </w:pPr>
      <w:r>
        <w:rPr>
          <w:rFonts w:hint="eastAsia" w:ascii="宋体" w:hAnsi="宋体"/>
          <w:b/>
          <w:bCs/>
          <w:sz w:val="18"/>
          <w:szCs w:val="18"/>
        </w:rPr>
        <w:t>第</w:t>
      </w:r>
      <w:r>
        <w:rPr>
          <w:rFonts w:hint="eastAsia" w:ascii="宋体" w:hAnsi="宋体"/>
          <w:b/>
          <w:bCs/>
          <w:sz w:val="18"/>
          <w:szCs w:val="18"/>
          <w:lang w:eastAsia="zh-CN"/>
        </w:rPr>
        <w:t>四</w:t>
      </w:r>
      <w:r>
        <w:rPr>
          <w:rFonts w:hint="eastAsia" w:ascii="宋体" w:hAnsi="宋体"/>
          <w:b/>
          <w:bCs/>
          <w:sz w:val="18"/>
          <w:szCs w:val="18"/>
        </w:rPr>
        <w:t xml:space="preserve">条  </w:t>
      </w:r>
      <w:r>
        <w:rPr>
          <w:rFonts w:hint="eastAsia" w:ascii="宋体" w:hAnsi="宋体"/>
          <w:b/>
          <w:bCs/>
          <w:sz w:val="18"/>
          <w:szCs w:val="18"/>
          <w:lang w:eastAsia="zh-CN"/>
        </w:rPr>
        <w:t>质量标准</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lang w:val="en-US" w:eastAsia="zh-CN"/>
        </w:rPr>
      </w:pPr>
      <w:r>
        <w:rPr>
          <w:rFonts w:hint="eastAsia" w:ascii="宋体" w:hAnsi="宋体"/>
          <w:b w:val="0"/>
          <w:bCs w:val="0"/>
          <w:sz w:val="18"/>
          <w:szCs w:val="18"/>
          <w:lang w:val="en-US" w:eastAsia="zh-CN"/>
        </w:rPr>
        <w:t>1、严格按照现行国家与行业标准执行此项目。</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宋体" w:hAnsi="宋体"/>
          <w:b w:val="0"/>
          <w:bCs w:val="0"/>
          <w:sz w:val="18"/>
          <w:szCs w:val="18"/>
          <w:lang w:val="en-US" w:eastAsia="zh-CN"/>
        </w:rPr>
      </w:pPr>
      <w:r>
        <w:rPr>
          <w:rFonts w:hint="eastAsia" w:ascii="宋体" w:hAnsi="宋体"/>
          <w:b w:val="0"/>
          <w:bCs w:val="0"/>
          <w:sz w:val="18"/>
          <w:szCs w:val="18"/>
          <w:lang w:val="en-US" w:eastAsia="zh-CN"/>
        </w:rPr>
        <w:t>2、乙方提供质保期三年</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3乙方应遵从合同条款的规定，细心认真地在规定时间内完成全部合同任务，在规定的保证期内，如果乙方完成的工作出现缺陷，乙方应自费修理，若修理过后不能达到使用标准，乙方应赔偿不低于原档次的设备给甲方。</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宋体" w:hAnsi="宋体"/>
          <w:b w:val="0"/>
          <w:bCs w:val="0"/>
          <w:sz w:val="18"/>
          <w:szCs w:val="18"/>
          <w:lang w:val="en-US" w:eastAsia="zh-CN"/>
        </w:rPr>
      </w:pPr>
      <w:r>
        <w:rPr>
          <w:rFonts w:hint="eastAsia" w:ascii="宋体" w:hAnsi="宋体"/>
          <w:b w:val="0"/>
          <w:bCs w:val="0"/>
          <w:sz w:val="18"/>
          <w:szCs w:val="18"/>
          <w:lang w:val="en-US" w:eastAsia="zh-CN"/>
        </w:rPr>
        <w:t>4、乙方应对甲方由于采用乙方的服务，或乙方人员的失误而对甲方造成的直接或造成第三者的财产损失负责。</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宋体" w:hAnsi="宋体"/>
          <w:b w:val="0"/>
          <w:bCs w:val="0"/>
          <w:sz w:val="18"/>
          <w:szCs w:val="18"/>
          <w:lang w:val="en-US" w:eastAsia="zh-CN"/>
        </w:rPr>
      </w:pPr>
      <w:r>
        <w:rPr>
          <w:rFonts w:hint="eastAsia" w:ascii="宋体" w:hAnsi="宋体"/>
          <w:b w:val="0"/>
          <w:bCs w:val="0"/>
          <w:sz w:val="18"/>
          <w:szCs w:val="18"/>
          <w:lang w:val="en-US" w:eastAsia="zh-CN"/>
        </w:rPr>
        <w:t>5、乙方遵守安全操作规程的规定，遵守甲方有关安全要求。</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bCs/>
          <w:sz w:val="18"/>
          <w:szCs w:val="18"/>
        </w:rPr>
      </w:pPr>
      <w:r>
        <w:rPr>
          <w:rFonts w:hint="eastAsia" w:ascii="宋体" w:hAnsi="宋体"/>
          <w:b/>
          <w:bCs/>
          <w:sz w:val="18"/>
          <w:szCs w:val="18"/>
        </w:rPr>
        <w:t>第</w:t>
      </w:r>
      <w:r>
        <w:rPr>
          <w:rFonts w:hint="eastAsia" w:ascii="宋体" w:hAnsi="宋体"/>
          <w:b/>
          <w:bCs/>
          <w:sz w:val="18"/>
          <w:szCs w:val="18"/>
          <w:lang w:eastAsia="zh-CN"/>
        </w:rPr>
        <w:t>五</w:t>
      </w:r>
      <w:r>
        <w:rPr>
          <w:rFonts w:hint="eastAsia" w:ascii="宋体" w:hAnsi="宋体"/>
          <w:b/>
          <w:bCs/>
          <w:sz w:val="18"/>
          <w:szCs w:val="18"/>
        </w:rPr>
        <w:t xml:space="preserve">条  </w:t>
      </w:r>
      <w:r>
        <w:rPr>
          <w:rFonts w:hint="eastAsia" w:ascii="宋体" w:hAnsi="宋体"/>
          <w:b/>
          <w:bCs/>
          <w:sz w:val="18"/>
          <w:szCs w:val="18"/>
          <w:lang w:eastAsia="zh-CN"/>
        </w:rPr>
        <w:t>权利</w:t>
      </w:r>
      <w:r>
        <w:rPr>
          <w:rFonts w:hint="eastAsia" w:ascii="宋体" w:hAnsi="宋体"/>
          <w:b/>
          <w:bCs/>
          <w:sz w:val="18"/>
          <w:szCs w:val="18"/>
        </w:rPr>
        <w:t>保证</w:t>
      </w:r>
    </w:p>
    <w:p>
      <w:pPr>
        <w:pStyle w:val="23"/>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sz w:val="18"/>
          <w:szCs w:val="18"/>
        </w:rPr>
      </w:pPr>
      <w:r>
        <w:rPr>
          <w:rFonts w:hint="eastAsia" w:ascii="宋体" w:hAnsi="宋体"/>
          <w:bCs/>
          <w:sz w:val="18"/>
          <w:szCs w:val="18"/>
          <w:lang w:eastAsia="zh-CN"/>
        </w:rPr>
        <w:t>乙方应保证为甲方提供货物和服务任何一部分时不受第三方提出侵犯其专利权、版权、商标权或其他权利的起诉。一旦出现侵权，乙方应承担全部责任。</w:t>
      </w:r>
      <w:r>
        <w:rPr>
          <w:rFonts w:hint="eastAsia" w:ascii="宋体" w:hAnsi="宋体"/>
          <w:b/>
          <w:sz w:val="18"/>
          <w:szCs w:val="18"/>
        </w:rPr>
        <w:t xml:space="preserve"> </w:t>
      </w:r>
      <w:r>
        <w:rPr>
          <w:rFonts w:hint="eastAsia" w:ascii="宋体" w:hAnsi="宋体"/>
          <w:sz w:val="18"/>
          <w:szCs w:val="18"/>
        </w:rPr>
        <w:t xml:space="preserve"> </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六</w:t>
      </w:r>
      <w:r>
        <w:rPr>
          <w:rFonts w:hint="eastAsia" w:ascii="宋体" w:hAnsi="宋体"/>
          <w:b/>
          <w:sz w:val="18"/>
          <w:szCs w:val="18"/>
        </w:rPr>
        <w:t xml:space="preserve">条  违约责任  </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rPr>
        <w:t>1、对乙方不按规定履行义务，在检测中弄虚作假或严重不负责任的，或转包、分包消防设施检测技术服务项目的，甲方有权解除检测合同</w:t>
      </w:r>
      <w:r>
        <w:rPr>
          <w:rFonts w:hint="eastAsia" w:asciiTheme="minorEastAsia" w:hAnsiTheme="minorEastAsia" w:eastAsiaTheme="minorEastAsia" w:cstheme="minorEastAsia"/>
          <w:color w:val="000000"/>
          <w:sz w:val="18"/>
          <w:szCs w:val="18"/>
          <w:lang w:eastAsia="zh-CN"/>
        </w:rPr>
        <w:t>并向乙方追偿合同价款的</w:t>
      </w:r>
      <w:r>
        <w:rPr>
          <w:rFonts w:hint="eastAsia" w:asciiTheme="minorEastAsia" w:hAnsiTheme="minorEastAsia" w:eastAsiaTheme="minorEastAsia" w:cstheme="minorEastAsia"/>
          <w:color w:val="000000"/>
          <w:sz w:val="18"/>
          <w:szCs w:val="18"/>
          <w:lang w:val="en-US" w:eastAsia="zh-CN"/>
        </w:rPr>
        <w:t>50%违约金</w:t>
      </w:r>
      <w:r>
        <w:rPr>
          <w:rFonts w:hint="eastAsia" w:asciiTheme="minorEastAsia" w:hAnsiTheme="minorEastAsia" w:eastAsiaTheme="minorEastAsia" w:cstheme="minorEastAsia"/>
          <w:color w:val="000000"/>
          <w:sz w:val="18"/>
          <w:szCs w:val="18"/>
          <w:lang w:eastAsia="zh-CN"/>
        </w:rPr>
        <w:t>。</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hint="eastAsia" w:ascii="宋体" w:hAnsi="宋体" w:eastAsia="宋体" w:cs="Times New Roman"/>
          <w:color w:val="000000" w:themeColor="text1"/>
          <w:sz w:val="18"/>
          <w:szCs w:val="18"/>
          <w14:textFill>
            <w14:solidFill>
              <w14:schemeClr w14:val="tx1"/>
            </w14:solidFill>
          </w14:textFill>
        </w:rPr>
      </w:pPr>
      <w:r>
        <w:rPr>
          <w:rFonts w:hint="eastAsia" w:asciiTheme="minorEastAsia" w:hAnsiTheme="minorEastAsia" w:eastAsiaTheme="minorEastAsia" w:cstheme="minorEastAsia"/>
          <w:color w:val="000000"/>
          <w:sz w:val="18"/>
          <w:szCs w:val="18"/>
          <w:lang w:val="en-US" w:eastAsia="zh-CN"/>
        </w:rPr>
        <w:t>2、</w:t>
      </w:r>
      <w:r>
        <w:rPr>
          <w:rFonts w:hint="eastAsia" w:ascii="宋体" w:hAnsi="宋体" w:eastAsia="宋体" w:cs="Times New Roman"/>
          <w:color w:val="000000" w:themeColor="text1"/>
          <w:sz w:val="18"/>
          <w:szCs w:val="18"/>
          <w14:textFill>
            <w14:solidFill>
              <w14:schemeClr w14:val="tx1"/>
            </w14:solidFill>
          </w14:textFill>
        </w:rPr>
        <w:t>乙方不得逾期</w:t>
      </w:r>
      <w:r>
        <w:rPr>
          <w:rFonts w:hint="eastAsia" w:ascii="宋体" w:hAnsi="宋体" w:eastAsia="宋体" w:cs="Times New Roman"/>
          <w:color w:val="000000" w:themeColor="text1"/>
          <w:sz w:val="18"/>
          <w:szCs w:val="18"/>
          <w:lang w:eastAsia="zh-CN"/>
          <w14:textFill>
            <w14:solidFill>
              <w14:schemeClr w14:val="tx1"/>
            </w14:solidFill>
          </w14:textFill>
        </w:rPr>
        <w:t>完成工作</w:t>
      </w:r>
      <w:r>
        <w:rPr>
          <w:rFonts w:hint="eastAsia" w:ascii="宋体" w:hAnsi="宋体" w:eastAsia="宋体" w:cs="Times New Roman"/>
          <w:color w:val="000000" w:themeColor="text1"/>
          <w:sz w:val="18"/>
          <w:szCs w:val="18"/>
          <w14:textFill>
            <w14:solidFill>
              <w14:schemeClr w14:val="tx1"/>
            </w14:solidFill>
          </w14:textFill>
        </w:rPr>
        <w:t xml:space="preserve">，由此造成甲方的损失须由乙方承担赔偿责任。 </w:t>
      </w:r>
      <w:r>
        <w:rPr>
          <w:rFonts w:hint="eastAsia" w:ascii="宋体" w:hAnsi="宋体" w:eastAsia="宋体" w:cs="Times New Roman"/>
          <w:color w:val="000000" w:themeColor="text1"/>
          <w:sz w:val="18"/>
          <w:szCs w:val="18"/>
          <w:lang w:eastAsia="zh-CN"/>
          <w14:textFill>
            <w14:solidFill>
              <w14:schemeClr w14:val="tx1"/>
            </w14:solidFill>
          </w14:textFill>
        </w:rPr>
        <w:t>每逾期一天，甲方按合同总价的</w:t>
      </w:r>
      <w:r>
        <w:rPr>
          <w:rFonts w:hint="eastAsia" w:ascii="宋体" w:hAnsi="宋体" w:eastAsia="宋体" w:cs="Times New Roman"/>
          <w:color w:val="000000" w:themeColor="text1"/>
          <w:sz w:val="18"/>
          <w:szCs w:val="18"/>
          <w:lang w:val="en-US" w:eastAsia="zh-CN"/>
          <w14:textFill>
            <w14:solidFill>
              <w14:schemeClr w14:val="tx1"/>
            </w14:solidFill>
          </w14:textFill>
        </w:rPr>
        <w:t>5%收取滞纳金。</w:t>
      </w:r>
      <w:r>
        <w:rPr>
          <w:rFonts w:hint="eastAsia" w:ascii="宋体" w:hAnsi="宋体" w:eastAsia="宋体" w:cs="Times New Roman"/>
          <w:color w:val="000000" w:themeColor="text1"/>
          <w:sz w:val="18"/>
          <w:szCs w:val="18"/>
          <w14:textFill>
            <w14:solidFill>
              <w14:schemeClr w14:val="tx1"/>
            </w14:solidFill>
          </w14:textFill>
        </w:rPr>
        <w:t>如乙方逾期结束</w:t>
      </w:r>
      <w:r>
        <w:rPr>
          <w:rFonts w:hint="eastAsia" w:ascii="宋体" w:hAnsi="宋体" w:eastAsia="宋体" w:cs="Times New Roman"/>
          <w:color w:val="000000" w:themeColor="text1"/>
          <w:sz w:val="18"/>
          <w:szCs w:val="18"/>
          <w:lang w:eastAsia="zh-CN"/>
          <w14:textFill>
            <w14:solidFill>
              <w14:schemeClr w14:val="tx1"/>
            </w14:solidFill>
          </w14:textFill>
        </w:rPr>
        <w:t>测试</w:t>
      </w:r>
      <w:r>
        <w:rPr>
          <w:rFonts w:hint="eastAsia" w:ascii="宋体" w:hAnsi="宋体" w:eastAsia="宋体" w:cs="Times New Roman"/>
          <w:color w:val="000000" w:themeColor="text1"/>
          <w:sz w:val="18"/>
          <w:szCs w:val="18"/>
          <w14:textFill>
            <w14:solidFill>
              <w14:schemeClr w14:val="tx1"/>
            </w14:solidFill>
          </w14:textFill>
        </w:rPr>
        <w:t>达10天，甲方有权解除合同或双方协商赔偿方式。</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hint="default" w:asciiTheme="minorEastAsia" w:hAnsiTheme="minorEastAsia" w:eastAsiaTheme="minorEastAsia" w:cstheme="minorEastAsia"/>
          <w:color w:val="000000"/>
          <w:sz w:val="18"/>
          <w:szCs w:val="18"/>
          <w:lang w:val="en-US" w:eastAsia="zh-CN"/>
        </w:rPr>
      </w:pPr>
      <w:r>
        <w:rPr>
          <w:rFonts w:hint="eastAsia" w:ascii="宋体" w:hAnsi="宋体" w:cs="Times New Roman"/>
          <w:color w:val="000000" w:themeColor="text1"/>
          <w:sz w:val="18"/>
          <w:szCs w:val="18"/>
          <w:lang w:val="en-US" w:eastAsia="zh-CN"/>
          <w14:textFill>
            <w14:solidFill>
              <w14:schemeClr w14:val="tx1"/>
            </w14:solidFill>
          </w14:textFill>
        </w:rPr>
        <w:t>3、</w:t>
      </w:r>
      <w:r>
        <w:rPr>
          <w:rFonts w:hint="eastAsia" w:ascii="宋体" w:hAnsi="宋体" w:eastAsia="宋体" w:cs="Times New Roman"/>
          <w:color w:val="000000" w:themeColor="text1"/>
          <w:sz w:val="18"/>
          <w:szCs w:val="18"/>
          <w14:textFill>
            <w14:solidFill>
              <w14:schemeClr w14:val="tx1"/>
            </w14:solidFill>
          </w14:textFill>
        </w:rPr>
        <w:t>乙方虚假承诺，或经权威部门检测提供的服务不能满足</w:t>
      </w:r>
      <w:r>
        <w:rPr>
          <w:rFonts w:hint="eastAsia" w:ascii="宋体" w:hAnsi="宋体" w:eastAsia="宋体" w:cs="Times New Roman"/>
          <w:color w:val="000000" w:themeColor="text1"/>
          <w:sz w:val="18"/>
          <w:szCs w:val="18"/>
          <w:lang w:eastAsia="zh-CN"/>
          <w14:textFill>
            <w14:solidFill>
              <w14:schemeClr w14:val="tx1"/>
            </w14:solidFill>
          </w14:textFill>
        </w:rPr>
        <w:t>甲方的</w:t>
      </w:r>
      <w:r>
        <w:rPr>
          <w:rFonts w:hint="eastAsia" w:ascii="宋体" w:hAnsi="宋体" w:eastAsia="宋体" w:cs="Times New Roman"/>
          <w:color w:val="000000" w:themeColor="text1"/>
          <w:sz w:val="18"/>
          <w:szCs w:val="18"/>
          <w14:textFill>
            <w14:solidFill>
              <w14:schemeClr w14:val="tx1"/>
            </w14:solidFill>
          </w14:textFill>
        </w:rPr>
        <w:t>要求，或是由于乙方的过错造成合同无法继续履行的，乙方按合同总价的30%赔偿给甲方，同时将被列入我院采购黑名单。</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lang w:val="en-US" w:eastAsia="zh-CN"/>
        </w:rPr>
        <w:t>4</w:t>
      </w:r>
      <w:r>
        <w:rPr>
          <w:rFonts w:hint="eastAsia" w:asciiTheme="minorEastAsia" w:hAnsiTheme="minorEastAsia" w:eastAsiaTheme="minorEastAsia" w:cstheme="minorEastAsia"/>
          <w:color w:val="000000"/>
          <w:sz w:val="18"/>
          <w:szCs w:val="18"/>
        </w:rPr>
        <w:t>、乙方未能依照技术标准和执业准则，导致检测质量问题的，承担相应的法律责任。</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5、因乙方检测报告质量存在缺陷导致甲方发生相应的损失，由乙方承担。</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七</w:t>
      </w:r>
      <w:r>
        <w:rPr>
          <w:rFonts w:hint="eastAsia" w:ascii="宋体" w:hAnsi="宋体"/>
          <w:b/>
          <w:sz w:val="18"/>
          <w:szCs w:val="18"/>
        </w:rPr>
        <w:t>条  合同的变更和终止</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sz w:val="18"/>
          <w:szCs w:val="18"/>
        </w:rPr>
      </w:pPr>
      <w:r>
        <w:rPr>
          <w:rFonts w:hint="eastAsia" w:ascii="宋体" w:hAnsi="宋体"/>
          <w:sz w:val="18"/>
          <w:szCs w:val="18"/>
        </w:rPr>
        <w:t>1、除《政府采购法》第50条第二款规定的情形外，本合同一经签订，甲乙双方不得擅自变更、中止或终止合同。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sz w:val="18"/>
          <w:szCs w:val="18"/>
        </w:rPr>
      </w:pPr>
      <w:r>
        <w:rPr>
          <w:rFonts w:hint="eastAsia" w:ascii="宋体" w:hAnsi="宋体"/>
          <w:sz w:val="18"/>
          <w:szCs w:val="18"/>
        </w:rPr>
        <w:t>2、除发生法律规定的不能预见、不能避免并不能克服的客观情况外，甲乙双方不得放弃或拒绝履行合同。乙方放弃或拒绝履行合同，按合同总价的30%承担违约责任，同时将被列入我院采购黑名单。</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八</w:t>
      </w:r>
      <w:r>
        <w:rPr>
          <w:rFonts w:hint="eastAsia" w:ascii="宋体" w:hAnsi="宋体"/>
          <w:b/>
          <w:sz w:val="18"/>
          <w:szCs w:val="18"/>
        </w:rPr>
        <w:t>条  合同的转让</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sz w:val="18"/>
          <w:szCs w:val="18"/>
        </w:rPr>
      </w:pPr>
      <w:r>
        <w:rPr>
          <w:rFonts w:hint="eastAsia" w:ascii="宋体" w:hAnsi="宋体"/>
          <w:sz w:val="18"/>
          <w:szCs w:val="18"/>
        </w:rPr>
        <w:t>乙方不得擅自部分或全部转让其应履行的合同义务。</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九</w:t>
      </w:r>
      <w:r>
        <w:rPr>
          <w:rFonts w:hint="eastAsia" w:ascii="宋体" w:hAnsi="宋体"/>
          <w:b/>
          <w:sz w:val="18"/>
          <w:szCs w:val="18"/>
        </w:rPr>
        <w:t xml:space="preserve">条  争议的解决  </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sz w:val="18"/>
          <w:szCs w:val="18"/>
        </w:rPr>
      </w:pPr>
      <w:r>
        <w:rPr>
          <w:rFonts w:hint="eastAsia" w:ascii="宋体" w:hAnsi="宋体"/>
          <w:sz w:val="18"/>
          <w:szCs w:val="18"/>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rPr>
      </w:pPr>
      <w:r>
        <w:rPr>
          <w:rFonts w:hint="eastAsia" w:ascii="宋体" w:hAnsi="宋体"/>
          <w:b/>
          <w:sz w:val="18"/>
          <w:szCs w:val="18"/>
        </w:rPr>
        <w:t>第</w:t>
      </w:r>
      <w:r>
        <w:rPr>
          <w:rFonts w:hint="eastAsia" w:ascii="宋体" w:hAnsi="宋体"/>
          <w:b/>
          <w:sz w:val="18"/>
          <w:szCs w:val="18"/>
          <w:lang w:eastAsia="zh-CN"/>
        </w:rPr>
        <w:t>十</w:t>
      </w:r>
      <w:r>
        <w:rPr>
          <w:rFonts w:hint="eastAsia" w:ascii="宋体" w:hAnsi="宋体"/>
          <w:b/>
          <w:sz w:val="18"/>
          <w:szCs w:val="18"/>
        </w:rPr>
        <w:t xml:space="preserve">条  诚实信用 </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hint="eastAsia" w:ascii="宋体" w:hAnsi="宋体"/>
          <w:sz w:val="18"/>
          <w:szCs w:val="18"/>
        </w:rPr>
      </w:pPr>
      <w:r>
        <w:rPr>
          <w:rFonts w:hint="eastAsia" w:ascii="宋体" w:hAnsi="宋体"/>
          <w:sz w:val="18"/>
          <w:szCs w:val="18"/>
          <w:lang w:val="en-US" w:eastAsia="zh-CN"/>
        </w:rPr>
        <w:t>1、</w:t>
      </w:r>
      <w:r>
        <w:rPr>
          <w:rFonts w:hint="eastAsia" w:ascii="宋体" w:hAnsi="宋体"/>
          <w:sz w:val="18"/>
          <w:szCs w:val="18"/>
        </w:rPr>
        <w:t>乙方应诚实信用，严格按照招标文件要求和投标承诺履行合同，不向甲方进行商业贿赂或者提供不正当利益。</w:t>
      </w:r>
      <w:r>
        <w:rPr>
          <w:rFonts w:hint="eastAsia" w:ascii="宋体" w:hAnsi="宋体"/>
          <w:sz w:val="18"/>
          <w:szCs w:val="18"/>
          <w:lang w:val="en-US" w:eastAsia="zh-CN"/>
        </w:rPr>
        <w:t>凡乙方有诚信档案不良记录的，甲方可无条件终止合同。</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sz w:val="18"/>
          <w:szCs w:val="18"/>
        </w:rPr>
      </w:pPr>
      <w:r>
        <w:rPr>
          <w:rFonts w:hint="eastAsia" w:ascii="宋体" w:hAnsi="宋体"/>
          <w:sz w:val="18"/>
          <w:szCs w:val="18"/>
          <w:lang w:val="en-US" w:eastAsia="zh-CN"/>
        </w:rPr>
        <w:t>2、</w:t>
      </w:r>
      <w:r>
        <w:rPr>
          <w:rFonts w:hint="eastAsia" w:ascii="宋体" w:hAnsi="宋体"/>
          <w:sz w:val="18"/>
          <w:szCs w:val="18"/>
        </w:rPr>
        <w:t>乙方应加强对其指定的销售代表等人员的管理，如乙方出现商业贿赂等不良行为将被记入诚信档案，一经发现，甲方有权无条件终止合同，并向有关部门上报。</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rPr>
      </w:pPr>
      <w:r>
        <w:rPr>
          <w:rFonts w:hint="eastAsia" w:ascii="宋体" w:hAnsi="宋体"/>
          <w:b/>
          <w:sz w:val="18"/>
          <w:szCs w:val="18"/>
        </w:rPr>
        <w:t>第十</w:t>
      </w:r>
      <w:r>
        <w:rPr>
          <w:rFonts w:hint="eastAsia" w:ascii="宋体" w:hAnsi="宋体"/>
          <w:b/>
          <w:sz w:val="18"/>
          <w:szCs w:val="18"/>
          <w:lang w:eastAsia="zh-CN"/>
        </w:rPr>
        <w:t>一</w:t>
      </w:r>
      <w:r>
        <w:rPr>
          <w:rFonts w:hint="eastAsia" w:ascii="宋体" w:hAnsi="宋体"/>
          <w:b/>
          <w:sz w:val="18"/>
          <w:szCs w:val="18"/>
        </w:rPr>
        <w:t xml:space="preserve">条  合同生效及其他 </w:t>
      </w:r>
    </w:p>
    <w:p>
      <w:pPr>
        <w:keepNext w:val="0"/>
        <w:keepLines w:val="0"/>
        <w:pageBreakBefore w:val="0"/>
        <w:kinsoku/>
        <w:wordWrap/>
        <w:overflowPunct/>
        <w:topLinePunct w:val="0"/>
        <w:autoSpaceDE w:val="0"/>
        <w:autoSpaceDN w:val="0"/>
        <w:bidi w:val="0"/>
        <w:adjustRightInd w:val="0"/>
        <w:snapToGrid/>
        <w:spacing w:line="300" w:lineRule="exact"/>
        <w:ind w:firstLine="271" w:firstLineChars="150"/>
        <w:jc w:val="left"/>
        <w:textAlignment w:val="auto"/>
        <w:rPr>
          <w:rFonts w:ascii="宋体" w:hAnsi="宋体"/>
          <w:sz w:val="18"/>
          <w:szCs w:val="18"/>
        </w:rPr>
      </w:pPr>
      <w:r>
        <w:rPr>
          <w:rFonts w:hint="eastAsia" w:ascii="宋体" w:hAnsi="宋体"/>
          <w:sz w:val="18"/>
          <w:szCs w:val="18"/>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napToGrid/>
        <w:spacing w:line="300" w:lineRule="exact"/>
        <w:ind w:firstLine="271" w:firstLineChars="150"/>
        <w:jc w:val="left"/>
        <w:textAlignment w:val="auto"/>
        <w:rPr>
          <w:rFonts w:hint="eastAsia" w:ascii="宋体" w:hAnsi="宋体" w:eastAsia="宋体"/>
          <w:sz w:val="18"/>
          <w:szCs w:val="18"/>
          <w:lang w:eastAsia="zh-CN"/>
        </w:rPr>
      </w:pPr>
      <w:r>
        <w:rPr>
          <w:rFonts w:hint="eastAsia" w:ascii="宋体" w:hAnsi="宋体"/>
          <w:sz w:val="18"/>
          <w:szCs w:val="18"/>
        </w:rPr>
        <w:t>2、本合同正本一式</w:t>
      </w:r>
      <w:r>
        <w:rPr>
          <w:rFonts w:hint="eastAsia" w:ascii="宋体" w:hAnsi="宋体"/>
          <w:sz w:val="18"/>
          <w:szCs w:val="18"/>
          <w:lang w:eastAsia="zh-CN"/>
        </w:rPr>
        <w:t>叁</w:t>
      </w:r>
      <w:r>
        <w:rPr>
          <w:rFonts w:hint="eastAsia" w:ascii="宋体" w:hAnsi="宋体"/>
          <w:sz w:val="18"/>
          <w:szCs w:val="18"/>
        </w:rPr>
        <w:t>份，具有同等法律效力，甲</w:t>
      </w:r>
      <w:r>
        <w:rPr>
          <w:rFonts w:hint="eastAsia" w:ascii="宋体" w:hAnsi="宋体"/>
          <w:sz w:val="18"/>
          <w:szCs w:val="18"/>
          <w:lang w:eastAsia="zh-CN"/>
        </w:rPr>
        <w:t>方</w:t>
      </w:r>
      <w:r>
        <w:rPr>
          <w:rFonts w:hint="eastAsia" w:ascii="宋体" w:hAnsi="宋体"/>
          <w:sz w:val="18"/>
          <w:szCs w:val="18"/>
        </w:rPr>
        <w:t>执</w:t>
      </w:r>
      <w:r>
        <w:rPr>
          <w:rFonts w:hint="eastAsia" w:ascii="宋体" w:hAnsi="宋体"/>
          <w:sz w:val="18"/>
          <w:szCs w:val="18"/>
          <w:lang w:eastAsia="zh-CN"/>
        </w:rPr>
        <w:t>贰</w:t>
      </w:r>
      <w:r>
        <w:rPr>
          <w:rFonts w:hint="eastAsia" w:ascii="宋体" w:hAnsi="宋体"/>
          <w:sz w:val="18"/>
          <w:szCs w:val="18"/>
        </w:rPr>
        <w:t>份</w:t>
      </w:r>
      <w:r>
        <w:rPr>
          <w:rFonts w:hint="eastAsia" w:ascii="宋体" w:hAnsi="宋体"/>
          <w:sz w:val="18"/>
          <w:szCs w:val="18"/>
          <w:lang w:eastAsia="zh-CN"/>
        </w:rPr>
        <w:t>，乙方执壹份。</w:t>
      </w:r>
    </w:p>
    <w:p>
      <w:pPr>
        <w:keepNext w:val="0"/>
        <w:keepLines w:val="0"/>
        <w:pageBreakBefore w:val="0"/>
        <w:kinsoku/>
        <w:wordWrap/>
        <w:overflowPunct/>
        <w:topLinePunct w:val="0"/>
        <w:autoSpaceDE w:val="0"/>
        <w:autoSpaceDN w:val="0"/>
        <w:bidi w:val="0"/>
        <w:adjustRightInd w:val="0"/>
        <w:snapToGrid/>
        <w:spacing w:line="300" w:lineRule="exact"/>
        <w:ind w:firstLine="271" w:firstLineChars="150"/>
        <w:jc w:val="left"/>
        <w:textAlignment w:val="auto"/>
        <w:rPr>
          <w:rFonts w:hint="eastAsia" w:ascii="宋体" w:hAnsi="宋体"/>
          <w:sz w:val="18"/>
          <w:szCs w:val="18"/>
        </w:rPr>
      </w:pPr>
      <w:r>
        <w:rPr>
          <w:rFonts w:hint="eastAsia" w:ascii="宋体" w:hAnsi="宋体"/>
          <w:sz w:val="18"/>
          <w:szCs w:val="18"/>
        </w:rPr>
        <w:t>3、本合同未尽事宜，遵照《</w:t>
      </w:r>
      <w:r>
        <w:rPr>
          <w:rFonts w:hint="eastAsia" w:ascii="宋体" w:hAnsi="宋体"/>
          <w:sz w:val="18"/>
          <w:szCs w:val="18"/>
          <w:lang w:eastAsia="zh-CN"/>
        </w:rPr>
        <w:t>民法典</w:t>
      </w:r>
      <w:r>
        <w:rPr>
          <w:rFonts w:hint="eastAsia" w:ascii="宋体" w:hAnsi="宋体"/>
          <w:sz w:val="18"/>
          <w:szCs w:val="18"/>
        </w:rPr>
        <w:t>》有关条文执行。</w:t>
      </w:r>
    </w:p>
    <w:p>
      <w:pPr>
        <w:pStyle w:val="15"/>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ind w:firstLine="36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2"/>
                      <w:ind w:firstLine="36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36B4B"/>
    <w:multiLevelType w:val="singleLevel"/>
    <w:tmpl w:val="99E36B4B"/>
    <w:lvl w:ilvl="0" w:tentative="0">
      <w:start w:val="1"/>
      <w:numFmt w:val="decimal"/>
      <w:suff w:val="nothing"/>
      <w:lvlText w:val="%1、"/>
      <w:lvlJc w:val="left"/>
    </w:lvl>
  </w:abstractNum>
  <w:abstractNum w:abstractNumId="1">
    <w:nsid w:val="0B9E83EE"/>
    <w:multiLevelType w:val="singleLevel"/>
    <w:tmpl w:val="0B9E83EE"/>
    <w:lvl w:ilvl="0" w:tentative="0">
      <w:start w:val="2"/>
      <w:numFmt w:val="chineseCounting"/>
      <w:suff w:val="space"/>
      <w:lvlText w:val="第%1条"/>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517125C"/>
    <w:multiLevelType w:val="singleLevel"/>
    <w:tmpl w:val="3517125C"/>
    <w:lvl w:ilvl="0" w:tentative="0">
      <w:start w:val="1"/>
      <w:numFmt w:val="decimal"/>
      <w:lvlText w:val="%1."/>
      <w:lvlJc w:val="left"/>
      <w:pPr>
        <w:tabs>
          <w:tab w:val="left" w:pos="312"/>
        </w:tabs>
      </w:pPr>
    </w:lvl>
  </w:abstractNum>
  <w:abstractNum w:abstractNumId="4">
    <w:nsid w:val="3566404D"/>
    <w:multiLevelType w:val="multilevel"/>
    <w:tmpl w:val="3566404D"/>
    <w:lvl w:ilvl="0" w:tentative="0">
      <w:start w:val="5"/>
      <w:numFmt w:val="japaneseCounting"/>
      <w:pStyle w:val="4"/>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5">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7C62492F"/>
    <w:multiLevelType w:val="singleLevel"/>
    <w:tmpl w:val="7C62492F"/>
    <w:lvl w:ilvl="0" w:tentative="0">
      <w:start w:val="2"/>
      <w:numFmt w:val="chineseCounting"/>
      <w:suff w:val="nothing"/>
      <w:lvlText w:val="%1、"/>
      <w:lvlJc w:val="left"/>
      <w:rPr>
        <w:rFonts w:hint="eastAsia"/>
      </w:rPr>
    </w:lvl>
  </w:abstractNum>
  <w:num w:numId="1">
    <w:abstractNumId w:val="4"/>
  </w:num>
  <w:num w:numId="2">
    <w:abstractNumId w:val="2"/>
  </w:num>
  <w:num w:numId="3">
    <w:abstractNumId w:val="6"/>
  </w:num>
  <w:num w:numId="4">
    <w:abstractNumId w:val="3"/>
  </w:num>
  <w:num w:numId="5">
    <w:abstractNumId w:val="4"/>
    <w:lvlOverride w:ilvl="0">
      <w:startOverride w:val="5"/>
    </w:lvlOverride>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WY0ZjYxZDliZDY5MzNiNDYxOTM4Yzc1MmQ4N2MifQ=="/>
  </w:docVars>
  <w:rsids>
    <w:rsidRoot w:val="44F34016"/>
    <w:rsid w:val="002E5E63"/>
    <w:rsid w:val="00652736"/>
    <w:rsid w:val="0069410C"/>
    <w:rsid w:val="006A4C8B"/>
    <w:rsid w:val="00747428"/>
    <w:rsid w:val="007541A3"/>
    <w:rsid w:val="007E2AE7"/>
    <w:rsid w:val="00955E28"/>
    <w:rsid w:val="009877E0"/>
    <w:rsid w:val="00A81A52"/>
    <w:rsid w:val="00AE403B"/>
    <w:rsid w:val="00B90BFD"/>
    <w:rsid w:val="00ED3F0C"/>
    <w:rsid w:val="020A533B"/>
    <w:rsid w:val="05F01509"/>
    <w:rsid w:val="08C3481A"/>
    <w:rsid w:val="09594CC4"/>
    <w:rsid w:val="0C351327"/>
    <w:rsid w:val="17A80770"/>
    <w:rsid w:val="1C2529FF"/>
    <w:rsid w:val="21035955"/>
    <w:rsid w:val="23201F60"/>
    <w:rsid w:val="27BB1274"/>
    <w:rsid w:val="29220EF6"/>
    <w:rsid w:val="312F39C2"/>
    <w:rsid w:val="3C1341E6"/>
    <w:rsid w:val="403F29F9"/>
    <w:rsid w:val="4045536F"/>
    <w:rsid w:val="424E09CC"/>
    <w:rsid w:val="43B15A7D"/>
    <w:rsid w:val="44F34016"/>
    <w:rsid w:val="46404CE5"/>
    <w:rsid w:val="48665371"/>
    <w:rsid w:val="49C5228A"/>
    <w:rsid w:val="49C82D31"/>
    <w:rsid w:val="4A9311B5"/>
    <w:rsid w:val="4B2058B1"/>
    <w:rsid w:val="4CFA195C"/>
    <w:rsid w:val="50C939BF"/>
    <w:rsid w:val="5C314C9D"/>
    <w:rsid w:val="5FB177E8"/>
    <w:rsid w:val="6E3F1A2D"/>
    <w:rsid w:val="71363BAA"/>
    <w:rsid w:val="72E176CB"/>
    <w:rsid w:val="74C21625"/>
    <w:rsid w:val="765121C2"/>
    <w:rsid w:val="771860A1"/>
    <w:rsid w:val="78581143"/>
    <w:rsid w:val="7AB47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4">
    <w:name w:val="heading 2"/>
    <w:basedOn w:val="1"/>
    <w:next w:val="1"/>
    <w:autoRedefine/>
    <w:qFormat/>
    <w:uiPriority w:val="0"/>
    <w:pPr>
      <w:keepNext/>
      <w:keepLines/>
      <w:numPr>
        <w:ilvl w:val="0"/>
        <w:numId w:val="1"/>
      </w:numPr>
      <w:spacing w:before="260" w:after="260" w:line="416" w:lineRule="auto"/>
      <w:ind w:firstLineChars="0"/>
      <w:outlineLvl w:val="1"/>
    </w:pPr>
    <w:rPr>
      <w:b w:val="0"/>
      <w:bCs w:val="0"/>
      <w:kern w:val="0"/>
    </w:rPr>
  </w:style>
  <w:style w:type="paragraph" w:styleId="2">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next w:val="8"/>
    <w:autoRedefine/>
    <w:qFormat/>
    <w:uiPriority w:val="0"/>
    <w:rPr>
      <w:rFonts w:ascii="楷体_GB2312" w:hAnsi="Arial" w:eastAsia="楷体_GB2312"/>
      <w:kern w:val="0"/>
      <w:szCs w:val="20"/>
    </w:rPr>
  </w:style>
  <w:style w:type="paragraph" w:styleId="8">
    <w:name w:val="toc 2"/>
    <w:basedOn w:val="1"/>
    <w:next w:val="1"/>
    <w:autoRedefine/>
    <w:semiHidden/>
    <w:qFormat/>
    <w:uiPriority w:val="0"/>
    <w:pPr>
      <w:ind w:left="420" w:leftChars="200"/>
    </w:pPr>
    <w:rPr>
      <w:szCs w:val="20"/>
    </w:rPr>
  </w:style>
  <w:style w:type="paragraph" w:styleId="9">
    <w:name w:val="Block Text"/>
    <w:basedOn w:val="1"/>
    <w:autoRedefine/>
    <w:unhideWhenUsed/>
    <w:qFormat/>
    <w:uiPriority w:val="99"/>
    <w:pPr>
      <w:spacing w:after="120"/>
      <w:ind w:left="1440" w:leftChars="700" w:right="1440" w:rightChars="700"/>
    </w:pPr>
  </w:style>
  <w:style w:type="paragraph" w:styleId="10">
    <w:name w:val="index 4"/>
    <w:basedOn w:val="1"/>
    <w:next w:val="1"/>
    <w:autoRedefine/>
    <w:unhideWhenUsed/>
    <w:qFormat/>
    <w:uiPriority w:val="99"/>
    <w:pPr>
      <w:ind w:left="600" w:leftChars="600"/>
    </w:pPr>
    <w:rPr>
      <w:rFonts w:ascii="Verdana" w:hAnsi="Verdana"/>
      <w:szCs w:val="20"/>
    </w:rPr>
  </w:style>
  <w:style w:type="paragraph" w:styleId="11">
    <w:name w:val="Plain Text"/>
    <w:basedOn w:val="1"/>
    <w:autoRedefine/>
    <w:qFormat/>
    <w:uiPriority w:val="0"/>
    <w:rPr>
      <w:rFonts w:ascii="宋体" w:hAnsi="Calibri" w:cs="Courier New"/>
      <w:szCs w:val="21"/>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873</Words>
  <Characters>4981</Characters>
  <Lines>41</Lines>
  <Paragraphs>11</Paragraphs>
  <TotalTime>19</TotalTime>
  <ScaleCrop>false</ScaleCrop>
  <LinksUpToDate>false</LinksUpToDate>
  <CharactersWithSpaces>5843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NTKO</cp:lastModifiedBy>
  <dcterms:modified xsi:type="dcterms:W3CDTF">2024-03-28T08:35:16Z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DDDD9CDFE834469CA5EC667446CE4168_13</vt:lpwstr>
  </property>
</Properties>
</file>